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EB" w:rsidRDefault="004916EB" w:rsidP="00D77D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Hajdúszoboszlói Helyi Választási Bizottság</w:t>
      </w:r>
    </w:p>
    <w:p w:rsidR="004916EB" w:rsidRDefault="004916EB" w:rsidP="00D77D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4200. Hajdúszoboszló, Hősök tere 1.</w:t>
      </w:r>
    </w:p>
    <w:p w:rsidR="004916EB" w:rsidRDefault="004916EB" w:rsidP="00D77D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Tel.: 52/557-300, fax: 52/557-302.</w:t>
      </w:r>
    </w:p>
    <w:p w:rsidR="004916EB" w:rsidRDefault="004916EB" w:rsidP="00D77D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E-mail: </w:t>
      </w:r>
      <w:hyperlink r:id="rId7" w:history="1">
        <w:r w:rsidRPr="00425DDC">
          <w:rPr>
            <w:rStyle w:val="Hyperlink"/>
            <w:rFonts w:ascii="Times New Roman" w:hAnsi="Times New Roman" w:cs="Calibri"/>
            <w:b/>
            <w:sz w:val="24"/>
            <w:szCs w:val="24"/>
          </w:rPr>
          <w:t>hvi@hajduszob.hu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r:id="rId8" w:history="1">
        <w:r w:rsidRPr="00425DDC">
          <w:rPr>
            <w:rStyle w:val="Hyperlink"/>
            <w:rFonts w:ascii="Times New Roman" w:hAnsi="Times New Roman" w:cs="Calibri"/>
            <w:b/>
            <w:sz w:val="24"/>
            <w:szCs w:val="24"/>
          </w:rPr>
          <w:t>polgmhiv@hajduszob.hu</w:t>
        </w:r>
      </w:hyperlink>
    </w:p>
    <w:p w:rsidR="004916EB" w:rsidRDefault="004916E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916EB" w:rsidRDefault="00491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polgármester</w:t>
      </w:r>
      <w:r>
        <w:rPr>
          <w:rFonts w:ascii="Times New Roman" w:hAnsi="Times New Roman" w:cs="Times New Roman"/>
          <w:b/>
          <w:sz w:val="24"/>
          <w:szCs w:val="24"/>
        </w:rPr>
        <w:t xml:space="preserve"> választására vonatkozó szavazólap adattartalmának jóváhagyása</w:t>
      </w:r>
    </w:p>
    <w:p w:rsidR="004916EB" w:rsidRDefault="00491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6EB" w:rsidRDefault="00491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6EB" w:rsidRDefault="004916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57/2014. (09.15.) HVB határozat</w:t>
      </w:r>
    </w:p>
    <w:p w:rsidR="004916EB" w:rsidRDefault="004916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6EB" w:rsidRDefault="0049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Hajdúszoboszlói Helyi Választási Bizottság (a továbbiakban: HVB) a 2013. évi XXXVI. törvény (a továbbiakban: Ve.) 162. § (1) bekezdésében biztosított feladatkörében eljárva a helyi önkormányzati képviselők és polgármesterek 2014. évi választására </w:t>
      </w:r>
      <w:r w:rsidRPr="00D77D12">
        <w:rPr>
          <w:rFonts w:ascii="Times New Roman" w:hAnsi="Times New Roman" w:cs="Times New Roman"/>
          <w:b/>
          <w:sz w:val="24"/>
          <w:szCs w:val="24"/>
        </w:rPr>
        <w:t>a</w:t>
      </w:r>
      <w:r w:rsidRPr="00D77D12">
        <w:rPr>
          <w:rFonts w:ascii="Times New Roman" w:hAnsi="Times New Roman" w:cs="Times New Roman"/>
          <w:b/>
          <w:i/>
          <w:sz w:val="24"/>
          <w:szCs w:val="24"/>
        </w:rPr>
        <w:t xml:space="preserve"> polgármester</w:t>
      </w:r>
      <w:r>
        <w:rPr>
          <w:rFonts w:ascii="Times New Roman" w:hAnsi="Times New Roman" w:cs="Times New Roman"/>
          <w:sz w:val="24"/>
          <w:szCs w:val="24"/>
        </w:rPr>
        <w:t xml:space="preserve"> választására vonatkozó </w:t>
      </w:r>
      <w:r w:rsidRPr="00D77D12">
        <w:rPr>
          <w:rFonts w:ascii="Times New Roman" w:hAnsi="Times New Roman" w:cs="Times New Roman"/>
          <w:b/>
          <w:sz w:val="24"/>
          <w:szCs w:val="24"/>
        </w:rPr>
        <w:t>szavazólap adattartalmát a határozat mellékletét képező szavazólap-mintának megfelelően jóváhagyja.</w:t>
      </w:r>
    </w:p>
    <w:p w:rsidR="004916EB" w:rsidRDefault="0049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6EB" w:rsidRDefault="0049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szavazólap adattartalmának jóváhagyásával kapcsolatos határozata ellen a Ve. 240. § (1) bekezdése alapján nincs helye fellebbezésnek.</w:t>
      </w:r>
    </w:p>
    <w:p w:rsidR="004916EB" w:rsidRDefault="0049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HVB-hez benyújtott, de a Debreceni Ítélőtáblához (4025 Debrecen Széchenyi utca 24.) címzett bírósági felülvizsgálati kérelemnek van helye. </w:t>
      </w:r>
    </w:p>
    <w:p w:rsidR="004916EB" w:rsidRPr="00D77D12" w:rsidRDefault="00491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77D12">
        <w:rPr>
          <w:rFonts w:ascii="Times New Roman" w:hAnsi="Times New Roman" w:cs="Times New Roman"/>
          <w:b/>
          <w:sz w:val="24"/>
          <w:szCs w:val="24"/>
        </w:rPr>
        <w:t>bírósági felülvizsgálati kérelmet</w:t>
      </w:r>
      <w:r>
        <w:rPr>
          <w:rFonts w:ascii="Times New Roman" w:hAnsi="Times New Roman" w:cs="Times New Roman"/>
          <w:sz w:val="24"/>
          <w:szCs w:val="24"/>
        </w:rPr>
        <w:t xml:space="preserve"> úgy kell benyújtani, hogy az legkésőbb a választási bizottság határozatának meghozatalát követő napon, azaz  </w:t>
      </w:r>
      <w:r w:rsidRPr="00D77D12">
        <w:rPr>
          <w:rFonts w:ascii="Times New Roman" w:hAnsi="Times New Roman" w:cs="Times New Roman"/>
          <w:b/>
          <w:sz w:val="24"/>
          <w:szCs w:val="24"/>
        </w:rPr>
        <w:t>2014. szeptember 16-án 16.00 óráig  megérkezzen a megtámadott határozatot hozó választási bizottsághoz.</w:t>
      </w:r>
    </w:p>
    <w:p w:rsidR="004916EB" w:rsidRDefault="004916EB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 bírósági felülvizsgálat iránti kérelmet jogszabálysértésre hivatkozással, illetve a választási bizottság mérlegelési jogkörben hozott határozata ellen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az ügyben érintett természetes és jogi személy, jogi személyiség nélküli szervezet </w:t>
      </w:r>
      <w:r>
        <w:rPr>
          <w:rFonts w:ascii="Times New Roman" w:hAnsi="Times New Roman" w:cs="Times New Roman"/>
          <w:sz w:val="24"/>
          <w:szCs w:val="24"/>
        </w:rPr>
        <w:t xml:space="preserve">nyújthatja be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személyesen vagy levélben, illetve olyan elektronikus dokumentumként, amelyet a kérelem benyújtójának jogi képviselője vagy jogi szakvizsgával rendelkező személy esetében a kérelem benyújtója minősített elektronikus aláírásával látott el. Ha a bírósági felülvizsgálat iránti kérelmet elektronikus dokumentumként nyújtja be, annak mellékleteit a kérelmező oldalhű másolatban elektronikus okirati formába alakítja.</w:t>
      </w:r>
    </w:p>
    <w:p w:rsidR="004916EB" w:rsidRDefault="0049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bírósági felülvizsgálati eljárásban az ügyvédi képviselet kötelező. A jogi szakvizsgával rendelkező személy saját ügyében ügyvédi képviselet nélkül is eljárhat.</w:t>
      </w:r>
    </w:p>
    <w:p w:rsidR="004916EB" w:rsidRDefault="0049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bírósági eljárás nem tárgyi illetékmentes. A bírósági felülvizsgálati kérelem benyújtóját tárgyi illetékfeljegyzési jog illeti meg. </w:t>
      </w:r>
    </w:p>
    <w:p w:rsidR="004916EB" w:rsidRDefault="0049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6EB" w:rsidRDefault="0049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bírósági felülvizsgálati kérelemnek tartalmaznia kell:</w:t>
      </w:r>
    </w:p>
    <w:p w:rsidR="004916EB" w:rsidRDefault="004916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jogalapját,</w:t>
      </w:r>
    </w:p>
    <w:p w:rsidR="004916EB" w:rsidRDefault="004916E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- ha a lakcímétől (székhelyétől) eltér - postai értesítési címét,</w:t>
      </w:r>
    </w:p>
    <w:p w:rsidR="004916EB" w:rsidRDefault="004916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benyújtójának személyi azonosítóját.</w:t>
      </w:r>
    </w:p>
    <w:p w:rsidR="004916EB" w:rsidRDefault="0049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bírósági felülvizsgálati kérelem tartalmazhatja:</w:t>
      </w:r>
    </w:p>
    <w:p w:rsidR="004916EB" w:rsidRDefault="004916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benyújtójának telefaxszámát vagy elektronikus levélcímét, illetve kézbesítési megbízottjának nevét és telefaxszámát vagy elektronikus levélcímét.</w:t>
      </w:r>
    </w:p>
    <w:p w:rsidR="004916EB" w:rsidRDefault="0049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bírósági felülvizsgálati kérelemben új tények és bizonyítékok is felhozhatók.</w:t>
      </w:r>
    </w:p>
    <w:p w:rsidR="004916EB" w:rsidRDefault="00491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6EB" w:rsidRDefault="00491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6EB" w:rsidRDefault="00491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6EB" w:rsidRDefault="00491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6EB" w:rsidRPr="00D77D12" w:rsidRDefault="004916EB" w:rsidP="00D7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D12">
        <w:rPr>
          <w:rFonts w:ascii="Times New Roman" w:hAnsi="Times New Roman" w:cs="Times New Roman"/>
          <w:b/>
          <w:sz w:val="24"/>
          <w:szCs w:val="24"/>
        </w:rPr>
        <w:t>I N D O K O L Á S:</w:t>
      </w:r>
    </w:p>
    <w:p w:rsidR="004916EB" w:rsidRPr="00D77D12" w:rsidRDefault="004916EB" w:rsidP="00D77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6EB" w:rsidRDefault="004916EB" w:rsidP="00D7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6EB" w:rsidRDefault="004916EB" w:rsidP="00D7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Ve. 162. § (1) bekezdése alapján a szavazólap adattartalmát a választási bizottság hagyja jóvá azt követően, hogy valamennyi bejelentett jelölt, illetve lista nyilvántartásba-vétele tárgyában határozatot hozott.</w:t>
      </w:r>
    </w:p>
    <w:p w:rsidR="004916EB" w:rsidRDefault="0049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6EB" w:rsidRDefault="0049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HVB az elkészített minta szavazólap ellenőrzését elvégezte és megállapította, hogy a</w:t>
      </w:r>
      <w:r>
        <w:rPr>
          <w:rFonts w:ascii="Times New Roman" w:hAnsi="Times New Roman" w:cs="Times New Roman"/>
          <w:i/>
          <w:sz w:val="24"/>
          <w:szCs w:val="24"/>
        </w:rPr>
        <w:t xml:space="preserve"> polgármester</w:t>
      </w:r>
      <w:r>
        <w:rPr>
          <w:rFonts w:ascii="Times New Roman" w:hAnsi="Times New Roman" w:cs="Times New Roman"/>
          <w:sz w:val="24"/>
          <w:szCs w:val="24"/>
        </w:rPr>
        <w:t xml:space="preserve"> választására vonatkozó szavazólap-minta adattartalma megfelel a Ve. rendelkezéseinek, a szavazólap-minta megfelelően biztosítja a jelöltek közötti esélyegyenlőséget.</w:t>
      </w:r>
    </w:p>
    <w:p w:rsidR="004916EB" w:rsidRDefault="0049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6EB" w:rsidRPr="00D77D12" w:rsidRDefault="00491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Erre tekintettel a HVB a helyi önkormányzati képviselők és polgármesterek 2014. évi választására </w:t>
      </w:r>
      <w:r w:rsidRPr="00D77D12">
        <w:rPr>
          <w:rFonts w:ascii="Times New Roman" w:hAnsi="Times New Roman" w:cs="Times New Roman"/>
          <w:b/>
          <w:sz w:val="24"/>
          <w:szCs w:val="24"/>
        </w:rPr>
        <w:t>a p</w:t>
      </w:r>
      <w:r w:rsidRPr="00D77D12">
        <w:rPr>
          <w:rFonts w:ascii="Times New Roman" w:hAnsi="Times New Roman" w:cs="Times New Roman"/>
          <w:b/>
          <w:i/>
          <w:sz w:val="24"/>
          <w:szCs w:val="24"/>
        </w:rPr>
        <w:t>olgármester</w:t>
      </w:r>
      <w:r w:rsidRPr="00D77D12">
        <w:rPr>
          <w:rFonts w:ascii="Times New Roman" w:hAnsi="Times New Roman" w:cs="Times New Roman"/>
          <w:b/>
          <w:sz w:val="24"/>
          <w:szCs w:val="24"/>
        </w:rPr>
        <w:t xml:space="preserve"> választására vonatkozó szavazólap adattartalmát jóváhagyta, a szavazólap-mintát „NYOMHATÓ” felirattal látta el, és azt a bizottság jelenlévő tagjai aláírásukkal hitelesítették.</w:t>
      </w:r>
    </w:p>
    <w:p w:rsidR="004916EB" w:rsidRPr="00D77D12" w:rsidRDefault="004916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6EB" w:rsidRDefault="0049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határozat a Ve. 162. § (1) bekezdésén, a jogorvoslatról szóló tájékoztatás a Ve. 222. § (1) bekezdésén, a 223. § (1), (3) bekezdésén, a 224. § (3)-(5) bekezdésén, a 225. §-án és a 240. § (1)-(2) bekezdésén alapul.</w:t>
      </w:r>
    </w:p>
    <w:p w:rsidR="004916EB" w:rsidRDefault="004916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916EB" w:rsidRDefault="004916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16EB" w:rsidRDefault="004916EB" w:rsidP="00D7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Hajdúszoboszló, 2014. szeptember 15.</w:t>
      </w:r>
    </w:p>
    <w:p w:rsidR="004916EB" w:rsidRDefault="004916EB" w:rsidP="00D7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6EB" w:rsidRDefault="004916EB" w:rsidP="00D7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6EB" w:rsidRDefault="004916EB" w:rsidP="00D7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6EB" w:rsidRPr="00D77D12" w:rsidRDefault="004916EB" w:rsidP="00D77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D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Dr. Úr Attila Bendegúz                                                                                               </w:t>
      </w:r>
    </w:p>
    <w:p w:rsidR="004916EB" w:rsidRPr="00D77D12" w:rsidRDefault="004916EB" w:rsidP="00D77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D1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HVB. elnök</w:t>
      </w:r>
    </w:p>
    <w:p w:rsidR="004916EB" w:rsidRPr="00D77D12" w:rsidRDefault="004916EB" w:rsidP="00D77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16EB" w:rsidRDefault="004916EB" w:rsidP="00D7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6EB" w:rsidRDefault="004916EB" w:rsidP="00D7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6EB" w:rsidRPr="00D77D12" w:rsidRDefault="004916EB" w:rsidP="00D7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6EB" w:rsidRDefault="004916EB">
      <w:pPr>
        <w:pStyle w:val="Footer"/>
      </w:pPr>
      <w:r>
        <w:rPr>
          <w:noProof/>
        </w:rPr>
        <w:pict>
          <v:rect id="_x0000_s1027" style="position:absolute;margin-left:224.3pt;margin-top:.05pt;width:5.05pt;height:11.55pt;z-index:251658240;mso-wrap-distance-left:-.05pt;mso-wrap-distance-right:-.05pt">
            <v:fill opacity="0"/>
            <v:textbox inset="0,0,0,0">
              <w:txbxContent>
                <w:p w:rsidR="004916EB" w:rsidRDefault="004916EB">
                  <w:pPr>
                    <w:pStyle w:val="Footer"/>
                    <w:rPr>
                      <w:rStyle w:val="PageNumber"/>
                    </w:rPr>
                  </w:pPr>
                  <w:fldSimple w:instr="PAGE">
                    <w:r>
                      <w:rPr>
                        <w:noProof/>
                      </w:rPr>
                      <w:t>2</w:t>
                    </w:r>
                  </w:fldSimple>
                </w:p>
              </w:txbxContent>
            </v:textbox>
            <w10:wrap type="square" side="largest"/>
          </v:rect>
        </w:pict>
      </w:r>
    </w:p>
    <w:sectPr w:rsidR="004916EB" w:rsidSect="00BF5D27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6EB" w:rsidRDefault="004916EB" w:rsidP="00BF5D27">
      <w:pPr>
        <w:spacing w:after="0" w:line="240" w:lineRule="auto"/>
      </w:pPr>
      <w:r>
        <w:separator/>
      </w:r>
    </w:p>
  </w:endnote>
  <w:endnote w:type="continuationSeparator" w:id="0">
    <w:p w:rsidR="004916EB" w:rsidRDefault="004916EB" w:rsidP="00BF5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6EB" w:rsidRDefault="004916EB">
    <w:pPr>
      <w:pStyle w:val="Footer"/>
    </w:pPr>
    <w:r>
      <w:rPr>
        <w:noProof/>
      </w:rPr>
      <w:pict>
        <v:rect id="_x0000_s2049" style="position:absolute;margin-left:224.3pt;margin-top:.05pt;width:5.05pt;height:11.55pt;z-index:251660288;mso-wrap-distance-left:-.05pt;mso-wrap-distance-right:-.05pt">
          <v:fill opacity="0"/>
          <v:textbox inset="0,0,0,0">
            <w:txbxContent>
              <w:p w:rsidR="004916EB" w:rsidRDefault="004916EB">
                <w:pPr>
                  <w:pStyle w:val="Footer"/>
                  <w:rPr>
                    <w:rStyle w:val="PageNumber"/>
                  </w:rPr>
                </w:pPr>
                <w:fldSimple w:instr="PAGE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side="largest"/>
        </v:rect>
      </w:pict>
    </w:r>
  </w:p>
  <w:p w:rsidR="004916EB" w:rsidRDefault="004916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6EB" w:rsidRDefault="004916EB" w:rsidP="00BF5D27">
      <w:pPr>
        <w:spacing w:after="0" w:line="240" w:lineRule="auto"/>
      </w:pPr>
      <w:r>
        <w:separator/>
      </w:r>
    </w:p>
  </w:footnote>
  <w:footnote w:type="continuationSeparator" w:id="0">
    <w:p w:rsidR="004916EB" w:rsidRDefault="004916EB" w:rsidP="00BF5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78C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FD53E3B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D27"/>
    <w:rsid w:val="00425DDC"/>
    <w:rsid w:val="004916EB"/>
    <w:rsid w:val="004D486F"/>
    <w:rsid w:val="005D5BFC"/>
    <w:rsid w:val="00AB1470"/>
    <w:rsid w:val="00B826BB"/>
    <w:rsid w:val="00BF5D27"/>
    <w:rsid w:val="00C13D04"/>
    <w:rsid w:val="00D77D12"/>
    <w:rsid w:val="00DB4570"/>
    <w:rsid w:val="00DD5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D27"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semiHidden/>
    <w:locked/>
    <w:rsid w:val="005D5BFC"/>
    <w:rPr>
      <w:rFonts w:cs="Times New Roman"/>
    </w:rPr>
  </w:style>
  <w:style w:type="character" w:customStyle="1" w:styleId="llbChar">
    <w:name w:val="Élőláb Char"/>
    <w:basedOn w:val="DefaultParagraphFont"/>
    <w:uiPriority w:val="99"/>
    <w:rsid w:val="005D5BFC"/>
    <w:rPr>
      <w:rFonts w:ascii="Times New Roman" w:hAnsi="Times New Roman" w:cs="Times New Roman"/>
      <w:sz w:val="20"/>
      <w:szCs w:val="20"/>
      <w:lang w:eastAsia="hu-HU"/>
    </w:rPr>
  </w:style>
  <w:style w:type="character" w:styleId="PageNumber">
    <w:name w:val="page number"/>
    <w:basedOn w:val="DefaultParagraphFont"/>
    <w:uiPriority w:val="99"/>
    <w:rsid w:val="005D5BF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D5BFC"/>
    <w:rPr>
      <w:rFonts w:cs="Times New Roman"/>
    </w:rPr>
  </w:style>
  <w:style w:type="character" w:customStyle="1" w:styleId="ListLabel1">
    <w:name w:val="ListLabel 1"/>
    <w:uiPriority w:val="99"/>
    <w:rsid w:val="00BF5D27"/>
    <w:rPr>
      <w:sz w:val="24"/>
    </w:rPr>
  </w:style>
  <w:style w:type="character" w:customStyle="1" w:styleId="ListLabel2">
    <w:name w:val="ListLabel 2"/>
    <w:uiPriority w:val="99"/>
    <w:rsid w:val="00BF5D27"/>
  </w:style>
  <w:style w:type="paragraph" w:customStyle="1" w:styleId="Cmsor">
    <w:name w:val="Címsor"/>
    <w:basedOn w:val="Normal"/>
    <w:next w:val="BodyText"/>
    <w:uiPriority w:val="99"/>
    <w:rsid w:val="00BF5D27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5D5BFC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eastAsia="en-US"/>
    </w:rPr>
  </w:style>
  <w:style w:type="paragraph" w:styleId="List">
    <w:name w:val="List"/>
    <w:basedOn w:val="BodyText"/>
    <w:uiPriority w:val="99"/>
    <w:rsid w:val="00BF5D27"/>
    <w:rPr>
      <w:rFonts w:cs="Mangal"/>
    </w:rPr>
  </w:style>
  <w:style w:type="paragraph" w:customStyle="1" w:styleId="Felirat">
    <w:name w:val="Felirat"/>
    <w:basedOn w:val="Normal"/>
    <w:uiPriority w:val="99"/>
    <w:rsid w:val="00BF5D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al"/>
    <w:uiPriority w:val="99"/>
    <w:rsid w:val="00BF5D27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rsid w:val="005D5BF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paragraph" w:styleId="NormalWeb">
    <w:name w:val="Normal (Web)"/>
    <w:basedOn w:val="Normal"/>
    <w:uiPriority w:val="99"/>
    <w:semiHidden/>
    <w:rsid w:val="005D5BF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D5BFC"/>
    <w:pPr>
      <w:ind w:left="720"/>
      <w:contextualSpacing/>
    </w:pPr>
  </w:style>
  <w:style w:type="paragraph" w:customStyle="1" w:styleId="Kerettartalom">
    <w:name w:val="Kerettartalom"/>
    <w:basedOn w:val="Normal"/>
    <w:uiPriority w:val="99"/>
    <w:rsid w:val="00BF5D27"/>
  </w:style>
  <w:style w:type="character" w:styleId="Hyperlink">
    <w:name w:val="Hyperlink"/>
    <w:basedOn w:val="DefaultParagraphFont"/>
    <w:uiPriority w:val="99"/>
    <w:rsid w:val="00D77D1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77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vi@hajduszo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527</Words>
  <Characters>3642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Hajdúszoboszlói Helyi Választási Bizottság</dc:title>
  <dc:subject/>
  <dc:creator>Dr. Seregi Dóra</dc:creator>
  <cp:keywords/>
  <dc:description/>
  <cp:lastModifiedBy>farkasne</cp:lastModifiedBy>
  <cp:revision>3</cp:revision>
  <cp:lastPrinted>2014-09-15T08:04:00Z</cp:lastPrinted>
  <dcterms:created xsi:type="dcterms:W3CDTF">2014-09-15T07:45:00Z</dcterms:created>
  <dcterms:modified xsi:type="dcterms:W3CDTF">2014-09-15T08:26:00Z</dcterms:modified>
</cp:coreProperties>
</file>