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footer1.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extBody"/>
        <w:bidi w:val="0"/>
        <w:spacing w:lineRule="auto" w:line="240" w:before="240" w:after="480"/>
        <w:ind w:left="0" w:hanging="0"/>
        <w:jc w:val="center"/>
        <w:rPr>
          <w:rFonts w:ascii="Times New Roman" w:hAnsi="Times New Roman"/>
          <w:b/>
          <w:b/>
          <w:bCs/>
          <w:sz w:val="24"/>
          <w:szCs w:val="24"/>
        </w:rPr>
      </w:pPr>
      <w:r>
        <w:rPr>
          <w:b/>
          <w:bCs/>
          <w:sz w:val="24"/>
          <w:szCs w:val="24"/>
        </w:rPr>
        <w:t>Hajdúszoboszló Város Önkormányzata Képviselő-testületének .../2025. (I. 30.) önkormányzati rendelete</w:t>
      </w:r>
    </w:p>
    <w:p>
      <w:pPr>
        <w:pStyle w:val="TextBody"/>
        <w:bidi w:val="0"/>
        <w:spacing w:lineRule="auto" w:line="240" w:before="240" w:after="480"/>
        <w:ind w:left="0" w:hanging="0"/>
        <w:jc w:val="center"/>
        <w:rPr>
          <w:rFonts w:ascii="Times New Roman" w:hAnsi="Times New Roman"/>
          <w:b/>
          <w:b/>
          <w:bCs/>
          <w:sz w:val="24"/>
          <w:szCs w:val="24"/>
        </w:rPr>
      </w:pPr>
      <w:r>
        <w:rPr>
          <w:b/>
          <w:bCs/>
          <w:sz w:val="24"/>
          <w:szCs w:val="24"/>
        </w:rPr>
        <w:t>az önkormányzat 2025. évi költségvetéséről</w:t>
      </w:r>
    </w:p>
    <w:p>
      <w:pPr>
        <w:pStyle w:val="TextBody"/>
        <w:bidi w:val="0"/>
        <w:spacing w:lineRule="auto" w:line="240" w:before="0" w:after="0"/>
        <w:ind w:left="0" w:hanging="0"/>
        <w:jc w:val="both"/>
        <w:rPr>
          <w:rFonts w:ascii="Times New Roman" w:hAnsi="Times New Roman"/>
          <w:sz w:val="24"/>
          <w:szCs w:val="24"/>
        </w:rPr>
      </w:pPr>
      <w:r>
        <w:rPr>
          <w:sz w:val="24"/>
          <w:szCs w:val="24"/>
        </w:rPr>
        <w:t xml:space="preserve">[1] A Magyarország helyi önkormányzatairól szóló 2011. évi CLXXXIX. törvény 111. § (2) bekezdés alapján a helyi önkormányzat gazdálkodásának alapja az éves költségvetése, melyből finanszírozza és látja el törvényben meghatározott kötelező és önként vállalt feladatait, </w:t>
      </w:r>
    </w:p>
    <w:p>
      <w:pPr>
        <w:pStyle w:val="TextBody"/>
        <w:bidi w:val="0"/>
        <w:spacing w:lineRule="auto" w:line="240" w:before="120" w:after="0"/>
        <w:ind w:left="0" w:hanging="0"/>
        <w:jc w:val="both"/>
        <w:rPr>
          <w:rFonts w:ascii="Times New Roman" w:hAnsi="Times New Roman"/>
          <w:sz w:val="24"/>
          <w:szCs w:val="24"/>
        </w:rPr>
      </w:pPr>
      <w:r>
        <w:rPr>
          <w:sz w:val="24"/>
          <w:szCs w:val="24"/>
        </w:rPr>
        <w:t xml:space="preserve">[2] Hajdúszoboszló Város Önkormányzatának éves költségvetése a települési szolgáltatások működtetését és a településfejlesztési célok megvalósítását egyaránt lehetővé tevő, kiegyensúlyozott gazdálkodás elve szerint került összeállításra, </w:t>
      </w:r>
    </w:p>
    <w:p>
      <w:pPr>
        <w:pStyle w:val="TextBody"/>
        <w:bidi w:val="0"/>
        <w:spacing w:lineRule="auto" w:line="240" w:before="120" w:after="0"/>
        <w:ind w:left="0" w:hanging="0"/>
        <w:jc w:val="both"/>
        <w:rPr>
          <w:rFonts w:ascii="Times New Roman" w:hAnsi="Times New Roman"/>
          <w:sz w:val="24"/>
          <w:szCs w:val="24"/>
        </w:rPr>
      </w:pPr>
      <w:r>
        <w:rPr>
          <w:sz w:val="24"/>
          <w:szCs w:val="24"/>
        </w:rPr>
        <w:t>[3] Hajdúszoboszló Város Önkormányzatának Képviselő-testülete az Alaptörvény 32. cikk (2) bekezdésében meghatározott eredeti jogalkotói hatáskörében, az Alaptörvény 32. cikk (1) bekezdés f) pontjában meghatározott feladatkörében, a Magyarország 2025. évi központi költségvetéséről szóló 2024. évi XC. törvény 64. § (5) bekezdésében és a közszolgálati tisztviselőkről szóló 2011. évi CXCIX. törvény 234. § (3) és (4) bekezdésében kapott felhatalmazás alapján, az államháztartásról szóló 2011. évi CXCV. törvény, az államháztartásról szóló törvény végrehajtásáról szóló 368/2011. (XII.31.) Kormányrendelet, a jogalkotásról szóló 2010. évi CXXX. törvény, a nemzeti köznevelésről szóló 2011. évi CXC. törvény, valamint Magyarország gazdasági stabilitásáról szóló 2011. évi CXCIV. törvény előírásaira figyelemmel, a Magyarország helyi önkormányzatairól szóló 2011. évi CLXXXIX. törvény 120. § (1) bekezdés a) pontjában biztosított véleményezési jogkörében eljáró Hajdúszoboszló Város Önkormányzata Képviselő-testületének Pénzügyi és Gazdasági Bizottsága, valamint az önkormányzat szervezeti és működési szabályzatáról szóló 27/2024. (X. 17.) önkormányzati rendelete 32. § (3) bekezdésében biztosított véleményezési jogkörében eljáró Hajdúszoboszló Város Önkormányzata Képviselő-testületének Jogi, Igazgatási és Ügyrendi, Kulturális, Nevelési és Sport, Szociális és Egészségügyi, Városfejlesztési és Műszaki, Turisztikai és Nemzetközi Kapcsolatokért Felelős, valamint Mezőgazdasági és Környezetvédelmi Bizottsága véleményének kikérésével az Önkormányzat 2025. évi költségvetéséről a következőket rendeli el:</w:t>
      </w:r>
    </w:p>
    <w:p>
      <w:pPr>
        <w:pStyle w:val="TextBody"/>
        <w:bidi w:val="0"/>
        <w:spacing w:lineRule="auto" w:line="240" w:before="280" w:after="0"/>
        <w:ind w:left="0" w:hanging="0"/>
        <w:jc w:val="center"/>
        <w:rPr>
          <w:rFonts w:ascii="Times New Roman" w:hAnsi="Times New Roman"/>
          <w:b/>
          <w:b/>
          <w:bCs/>
          <w:sz w:val="24"/>
          <w:szCs w:val="24"/>
        </w:rPr>
      </w:pPr>
      <w:r>
        <w:rPr>
          <w:b/>
          <w:bCs/>
          <w:sz w:val="24"/>
          <w:szCs w:val="24"/>
        </w:rPr>
        <w:t>1. A rendelet hatálya</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1. §</w:t>
      </w:r>
    </w:p>
    <w:p>
      <w:pPr>
        <w:pStyle w:val="TextBody"/>
        <w:bidi w:val="0"/>
        <w:spacing w:lineRule="auto" w:line="240" w:before="0" w:after="0"/>
        <w:ind w:left="0" w:hanging="0"/>
        <w:jc w:val="both"/>
        <w:rPr>
          <w:rFonts w:ascii="Times New Roman" w:hAnsi="Times New Roman"/>
          <w:sz w:val="24"/>
          <w:szCs w:val="24"/>
        </w:rPr>
      </w:pPr>
      <w:r>
        <w:rPr>
          <w:sz w:val="24"/>
          <w:szCs w:val="24"/>
        </w:rPr>
        <w:t>A rendelet hatálya kiterjed Hajdúszoboszló Város Önkormányzata Képviselő-testületére, bizottságaira, polgármesterére, valamint a képviselő-testület felügyelete alá tartozó költségvetési szervek (továbbiakban intézmények, beleértve a polgármesteri hivatal) költségvetésére, költségvetésének végrehajtására, valamint a nem önkormányzati szervek közösségi szolgáltatásokra átadott-átvett pénzeszközeire, a támogatásban részesített magánszemélyekre, jogi személyekre, jogi személyiséggel nem rendelkező szervezetekre.</w:t>
      </w:r>
    </w:p>
    <w:p>
      <w:pPr>
        <w:pStyle w:val="TextBody"/>
        <w:bidi w:val="0"/>
        <w:spacing w:lineRule="auto" w:line="240" w:before="280" w:after="0"/>
        <w:ind w:left="0" w:hanging="0"/>
        <w:jc w:val="center"/>
        <w:rPr>
          <w:rFonts w:ascii="Times New Roman" w:hAnsi="Times New Roman"/>
          <w:b/>
          <w:b/>
          <w:bCs/>
          <w:sz w:val="24"/>
          <w:szCs w:val="24"/>
        </w:rPr>
      </w:pPr>
      <w:r>
        <w:rPr>
          <w:b/>
          <w:bCs/>
          <w:sz w:val="24"/>
          <w:szCs w:val="24"/>
        </w:rPr>
        <w:t>2. A költségvetés főbb adatai, a hiány finanszírozása</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2. §</w:t>
      </w:r>
    </w:p>
    <w:p>
      <w:pPr>
        <w:pStyle w:val="TextBody"/>
        <w:bidi w:val="0"/>
        <w:spacing w:lineRule="auto" w:line="240" w:before="0" w:after="0"/>
        <w:ind w:left="0" w:hanging="0"/>
        <w:jc w:val="both"/>
        <w:rPr>
          <w:rFonts w:ascii="Times New Roman" w:hAnsi="Times New Roman"/>
          <w:sz w:val="24"/>
          <w:szCs w:val="24"/>
        </w:rPr>
      </w:pPr>
      <w:r>
        <w:rPr>
          <w:sz w:val="24"/>
          <w:szCs w:val="24"/>
        </w:rPr>
        <w:t>(1) A képviselő-testület a 2025. évi költségvetés főösszegét 12.588.044 E Ft-ban,</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7.878.401 E Ft működési célú bevétellel,</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8.226.766 E Ft működési célú kiadással,</w:t>
      </w:r>
    </w:p>
    <w:p>
      <w:pPr>
        <w:pStyle w:val="TextBody"/>
        <w:bidi w:val="0"/>
        <w:spacing w:lineRule="auto" w:line="240" w:before="0" w:after="0"/>
        <w:ind w:left="580" w:hanging="560"/>
        <w:jc w:val="both"/>
        <w:rPr>
          <w:rFonts w:ascii="Times New Roman" w:hAnsi="Times New Roman"/>
          <w:sz w:val="24"/>
          <w:szCs w:val="24"/>
        </w:rPr>
      </w:pPr>
      <w:r>
        <w:rPr>
          <w:i/>
          <w:iCs/>
          <w:sz w:val="24"/>
          <w:szCs w:val="24"/>
        </w:rPr>
        <w:t>c)</w:t>
      </w:r>
      <w:r>
        <w:rPr>
          <w:sz w:val="24"/>
          <w:szCs w:val="24"/>
        </w:rPr>
        <w:tab/>
        <w:t>– 348.365 E Ft működési egyenleggel és</w:t>
      </w:r>
    </w:p>
    <w:p>
      <w:pPr>
        <w:pStyle w:val="TextBody"/>
        <w:bidi w:val="0"/>
        <w:spacing w:lineRule="auto" w:line="240" w:before="0" w:after="0"/>
        <w:ind w:left="580" w:hanging="560"/>
        <w:jc w:val="both"/>
        <w:rPr>
          <w:rFonts w:ascii="Times New Roman" w:hAnsi="Times New Roman"/>
          <w:sz w:val="24"/>
          <w:szCs w:val="24"/>
        </w:rPr>
      </w:pPr>
      <w:r>
        <w:rPr>
          <w:i/>
          <w:iCs/>
          <w:sz w:val="24"/>
          <w:szCs w:val="24"/>
        </w:rPr>
        <w:t>d)</w:t>
      </w:r>
      <w:r>
        <w:rPr>
          <w:sz w:val="24"/>
          <w:szCs w:val="24"/>
        </w:rPr>
        <w:tab/>
        <w:t>2.789.643 E Ft felhalmozási célú bevétellel,</w:t>
      </w:r>
    </w:p>
    <w:p>
      <w:pPr>
        <w:pStyle w:val="TextBody"/>
        <w:bidi w:val="0"/>
        <w:spacing w:lineRule="auto" w:line="240" w:before="0" w:after="0"/>
        <w:ind w:left="580" w:hanging="560"/>
        <w:jc w:val="both"/>
        <w:rPr>
          <w:rFonts w:ascii="Times New Roman" w:hAnsi="Times New Roman"/>
          <w:sz w:val="24"/>
          <w:szCs w:val="24"/>
        </w:rPr>
      </w:pPr>
      <w:r>
        <w:rPr>
          <w:i/>
          <w:iCs/>
          <w:sz w:val="24"/>
          <w:szCs w:val="24"/>
        </w:rPr>
        <w:t>e)</w:t>
      </w:r>
      <w:r>
        <w:rPr>
          <w:sz w:val="24"/>
          <w:szCs w:val="24"/>
        </w:rPr>
        <w:tab/>
        <w:t>4.361.278 E Ft felhalmozási célú kiadással,</w:t>
      </w:r>
    </w:p>
    <w:p>
      <w:pPr>
        <w:pStyle w:val="TextBody"/>
        <w:bidi w:val="0"/>
        <w:spacing w:lineRule="auto" w:line="240" w:before="0" w:after="0"/>
        <w:ind w:left="580" w:hanging="560"/>
        <w:jc w:val="both"/>
        <w:rPr>
          <w:rFonts w:ascii="Times New Roman" w:hAnsi="Times New Roman"/>
          <w:sz w:val="24"/>
          <w:szCs w:val="24"/>
        </w:rPr>
      </w:pPr>
      <w:r>
        <w:rPr>
          <w:i/>
          <w:iCs/>
          <w:sz w:val="24"/>
          <w:szCs w:val="24"/>
        </w:rPr>
        <w:t>f)</w:t>
      </w:r>
      <w:r>
        <w:rPr>
          <w:sz w:val="24"/>
          <w:szCs w:val="24"/>
        </w:rPr>
        <w:tab/>
        <w:t>– 1.571.635 E Ft felhalmozási egyenleggel</w:t>
      </w:r>
    </w:p>
    <w:p>
      <w:pPr>
        <w:pStyle w:val="TextBody"/>
        <w:bidi w:val="0"/>
        <w:spacing w:lineRule="auto" w:line="240" w:before="0" w:after="0"/>
        <w:ind w:left="0" w:hanging="0"/>
        <w:jc w:val="both"/>
        <w:rPr>
          <w:rFonts w:ascii="Times New Roman" w:hAnsi="Times New Roman"/>
          <w:sz w:val="24"/>
          <w:szCs w:val="24"/>
        </w:rPr>
      </w:pPr>
      <w:r>
        <w:rPr>
          <w:sz w:val="24"/>
          <w:szCs w:val="24"/>
        </w:rPr>
        <w:t>fogadja el.</w:t>
      </w:r>
    </w:p>
    <w:p>
      <w:pPr>
        <w:pStyle w:val="TextBody"/>
        <w:bidi w:val="0"/>
        <w:spacing w:lineRule="auto" w:line="240" w:before="240" w:after="0"/>
        <w:ind w:left="0" w:hanging="0"/>
        <w:jc w:val="both"/>
        <w:rPr>
          <w:rFonts w:ascii="Times New Roman" w:hAnsi="Times New Roman"/>
          <w:sz w:val="24"/>
          <w:szCs w:val="24"/>
        </w:rPr>
      </w:pPr>
      <w:r>
        <w:rPr>
          <w:sz w:val="24"/>
          <w:szCs w:val="24"/>
        </w:rPr>
        <w:t>(2) Az eredmény – 1.920.000 E Ft, melynek forrása a 2024. évi pénzmaradvány.</w:t>
      </w:r>
    </w:p>
    <w:p>
      <w:pPr>
        <w:pStyle w:val="TextBody"/>
        <w:bidi w:val="0"/>
        <w:spacing w:lineRule="auto" w:line="240" w:before="240" w:after="0"/>
        <w:ind w:left="0" w:hanging="0"/>
        <w:jc w:val="both"/>
        <w:rPr>
          <w:rFonts w:ascii="Times New Roman" w:hAnsi="Times New Roman"/>
          <w:sz w:val="24"/>
          <w:szCs w:val="24"/>
        </w:rPr>
      </w:pPr>
      <w:r>
        <w:rPr>
          <w:sz w:val="24"/>
          <w:szCs w:val="24"/>
        </w:rPr>
        <w:t>(3) A működési és felhalmozási célú bevételek és kiadások részletezését az 1. melléklet állapítja meg.</w:t>
      </w:r>
    </w:p>
    <w:p>
      <w:pPr>
        <w:pStyle w:val="TextBody"/>
        <w:bidi w:val="0"/>
        <w:spacing w:lineRule="auto" w:line="240" w:before="240" w:after="0"/>
        <w:ind w:left="0" w:hanging="0"/>
        <w:jc w:val="both"/>
        <w:rPr>
          <w:rFonts w:ascii="Times New Roman" w:hAnsi="Times New Roman"/>
          <w:sz w:val="24"/>
          <w:szCs w:val="24"/>
        </w:rPr>
      </w:pPr>
      <w:r>
        <w:rPr>
          <w:sz w:val="24"/>
          <w:szCs w:val="24"/>
        </w:rPr>
        <w:t>(4) Az önkormányzat által irányított intézmények bevételeit előirányzat-csoportok kiemelt előirányzatok és kötelező feladatok, önként vállalt feladatok, állami (államigazgatási) feladatok szerinti bontásban a 2. melléklet tartalmazza.</w:t>
      </w:r>
    </w:p>
    <w:p>
      <w:pPr>
        <w:pStyle w:val="TextBody"/>
        <w:bidi w:val="0"/>
        <w:spacing w:lineRule="auto" w:line="240" w:before="240" w:after="0"/>
        <w:ind w:left="0" w:hanging="0"/>
        <w:jc w:val="both"/>
        <w:rPr>
          <w:rFonts w:ascii="Times New Roman" w:hAnsi="Times New Roman"/>
          <w:sz w:val="24"/>
          <w:szCs w:val="24"/>
        </w:rPr>
      </w:pPr>
      <w:r>
        <w:rPr>
          <w:sz w:val="24"/>
          <w:szCs w:val="24"/>
        </w:rPr>
        <w:t>(5) Az önkormányzat saját bevételeinek, valamint az állami támogatások részletezését a 2–7. mellékletek tartalmazzák a következők szerint:</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2. melléklet: Önkormányzati intézményi bevételek;</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3. melléklet: Helyi adóbevételek;</w:t>
      </w:r>
    </w:p>
    <w:p>
      <w:pPr>
        <w:pStyle w:val="TextBody"/>
        <w:bidi w:val="0"/>
        <w:spacing w:lineRule="auto" w:line="240" w:before="0" w:after="0"/>
        <w:ind w:left="580" w:hanging="560"/>
        <w:jc w:val="both"/>
        <w:rPr>
          <w:rFonts w:ascii="Times New Roman" w:hAnsi="Times New Roman"/>
          <w:sz w:val="24"/>
          <w:szCs w:val="24"/>
        </w:rPr>
      </w:pPr>
      <w:r>
        <w:rPr>
          <w:i/>
          <w:iCs/>
          <w:sz w:val="24"/>
          <w:szCs w:val="24"/>
        </w:rPr>
        <w:t>c)</w:t>
      </w:r>
      <w:r>
        <w:rPr>
          <w:sz w:val="24"/>
          <w:szCs w:val="24"/>
        </w:rPr>
        <w:tab/>
        <w:t>4. melléklet: Átvett pénzeszközök;</w:t>
      </w:r>
    </w:p>
    <w:p>
      <w:pPr>
        <w:pStyle w:val="TextBody"/>
        <w:bidi w:val="0"/>
        <w:spacing w:lineRule="auto" w:line="240" w:before="0" w:after="0"/>
        <w:ind w:left="580" w:hanging="560"/>
        <w:jc w:val="both"/>
        <w:rPr>
          <w:rFonts w:ascii="Times New Roman" w:hAnsi="Times New Roman"/>
          <w:sz w:val="24"/>
          <w:szCs w:val="24"/>
        </w:rPr>
      </w:pPr>
      <w:r>
        <w:rPr>
          <w:i/>
          <w:iCs/>
          <w:sz w:val="24"/>
          <w:szCs w:val="24"/>
        </w:rPr>
        <w:t>d)</w:t>
      </w:r>
      <w:r>
        <w:rPr>
          <w:sz w:val="24"/>
          <w:szCs w:val="24"/>
        </w:rPr>
        <w:tab/>
        <w:t>5. melléklet: Egyéb bevételek;</w:t>
      </w:r>
    </w:p>
    <w:p>
      <w:pPr>
        <w:pStyle w:val="TextBody"/>
        <w:bidi w:val="0"/>
        <w:spacing w:lineRule="auto" w:line="240" w:before="0" w:after="0"/>
        <w:ind w:left="580" w:hanging="560"/>
        <w:jc w:val="both"/>
        <w:rPr>
          <w:rFonts w:ascii="Times New Roman" w:hAnsi="Times New Roman"/>
          <w:sz w:val="24"/>
          <w:szCs w:val="24"/>
        </w:rPr>
      </w:pPr>
      <w:r>
        <w:rPr>
          <w:i/>
          <w:iCs/>
          <w:sz w:val="24"/>
          <w:szCs w:val="24"/>
        </w:rPr>
        <w:t>e)</w:t>
      </w:r>
      <w:r>
        <w:rPr>
          <w:sz w:val="24"/>
          <w:szCs w:val="24"/>
        </w:rPr>
        <w:tab/>
        <w:t>6. melléklet: Állami támogatások;</w:t>
      </w:r>
    </w:p>
    <w:p>
      <w:pPr>
        <w:pStyle w:val="TextBody"/>
        <w:bidi w:val="0"/>
        <w:spacing w:lineRule="auto" w:line="240" w:before="0" w:after="0"/>
        <w:ind w:left="580" w:hanging="560"/>
        <w:jc w:val="both"/>
        <w:rPr>
          <w:rFonts w:ascii="Times New Roman" w:hAnsi="Times New Roman"/>
          <w:sz w:val="24"/>
          <w:szCs w:val="24"/>
        </w:rPr>
      </w:pPr>
      <w:r>
        <w:rPr>
          <w:i/>
          <w:iCs/>
          <w:sz w:val="24"/>
          <w:szCs w:val="24"/>
        </w:rPr>
        <w:t>f)</w:t>
      </w:r>
      <w:r>
        <w:rPr>
          <w:sz w:val="24"/>
          <w:szCs w:val="24"/>
        </w:rPr>
        <w:tab/>
        <w:t>7. melléklet: Vagyonhasznosítási bevételek.</w:t>
      </w:r>
    </w:p>
    <w:p>
      <w:pPr>
        <w:pStyle w:val="TextBody"/>
        <w:bidi w:val="0"/>
        <w:spacing w:lineRule="auto" w:line="240" w:before="240" w:after="0"/>
        <w:ind w:left="0" w:hanging="0"/>
        <w:jc w:val="both"/>
        <w:rPr>
          <w:rFonts w:ascii="Times New Roman" w:hAnsi="Times New Roman"/>
          <w:sz w:val="24"/>
          <w:szCs w:val="24"/>
        </w:rPr>
      </w:pPr>
      <w:r>
        <w:rPr>
          <w:sz w:val="24"/>
          <w:szCs w:val="24"/>
        </w:rPr>
        <w:t>(6) Az önkormányzat által irányított intézmények kiadásait előirányzat-csoportok kiemelt előirányzatok és kötelező feladatok, önként vállalt feladatok, állami (államigazgatási) feladatok szerinti bontásban a 8. melléklet (1. pontban található táblázat) tartalmazza.</w:t>
      </w:r>
    </w:p>
    <w:p>
      <w:pPr>
        <w:pStyle w:val="TextBody"/>
        <w:bidi w:val="0"/>
        <w:spacing w:lineRule="auto" w:line="240" w:before="240" w:after="0"/>
        <w:ind w:left="0" w:hanging="0"/>
        <w:jc w:val="both"/>
        <w:rPr>
          <w:rFonts w:ascii="Times New Roman" w:hAnsi="Times New Roman"/>
          <w:sz w:val="24"/>
          <w:szCs w:val="24"/>
        </w:rPr>
      </w:pPr>
      <w:r>
        <w:rPr>
          <w:sz w:val="24"/>
          <w:szCs w:val="24"/>
        </w:rPr>
        <w:t>(7) A polgármesteri hivatal kiadásait feladatonként a 8. melléklet (3. pontban található táblázat), az önkormányzat kiadásait feladatonként a 8. melléklet (2. pontban található táblázat), valamint a 9. melléklet tartalmazza külön önként vállalt és államigazgatási feladatok bontásban.</w:t>
      </w:r>
    </w:p>
    <w:p>
      <w:pPr>
        <w:pStyle w:val="TextBody"/>
        <w:bidi w:val="0"/>
        <w:spacing w:lineRule="auto" w:line="240" w:before="240" w:after="0"/>
        <w:ind w:left="0" w:hanging="0"/>
        <w:jc w:val="both"/>
        <w:rPr>
          <w:rFonts w:ascii="Times New Roman" w:hAnsi="Times New Roman"/>
          <w:sz w:val="24"/>
          <w:szCs w:val="24"/>
        </w:rPr>
      </w:pPr>
      <w:r>
        <w:rPr>
          <w:sz w:val="24"/>
          <w:szCs w:val="24"/>
        </w:rPr>
        <w:t>(8) A szociálpolitikai kiadásokat a 10. melléklet részletezi.</w:t>
      </w:r>
    </w:p>
    <w:p>
      <w:pPr>
        <w:pStyle w:val="TextBody"/>
        <w:bidi w:val="0"/>
        <w:spacing w:lineRule="auto" w:line="240" w:before="240" w:after="0"/>
        <w:ind w:left="0" w:hanging="0"/>
        <w:jc w:val="both"/>
        <w:rPr>
          <w:rFonts w:ascii="Times New Roman" w:hAnsi="Times New Roman"/>
          <w:sz w:val="24"/>
          <w:szCs w:val="24"/>
        </w:rPr>
      </w:pPr>
      <w:r>
        <w:rPr>
          <w:sz w:val="24"/>
          <w:szCs w:val="24"/>
        </w:rPr>
        <w:t>(9) Az egyéb kiadásokat (működésre és felhalmozásra átadott pénzeszközöket) a 11. melléklet tartalmazza.</w:t>
      </w:r>
    </w:p>
    <w:p>
      <w:pPr>
        <w:pStyle w:val="TextBody"/>
        <w:bidi w:val="0"/>
        <w:spacing w:lineRule="auto" w:line="240" w:before="240" w:after="0"/>
        <w:ind w:left="0" w:hanging="0"/>
        <w:jc w:val="both"/>
        <w:rPr>
          <w:rFonts w:ascii="Times New Roman" w:hAnsi="Times New Roman"/>
          <w:sz w:val="24"/>
          <w:szCs w:val="24"/>
        </w:rPr>
      </w:pPr>
      <w:r>
        <w:rPr>
          <w:sz w:val="24"/>
          <w:szCs w:val="24"/>
        </w:rPr>
        <w:t>(10) A külön kereteket (céltartalékokat) a 12. melléklet, az általános tartalékot az 1. melléklet mutatja.</w:t>
      </w:r>
    </w:p>
    <w:p>
      <w:pPr>
        <w:pStyle w:val="TextBody"/>
        <w:bidi w:val="0"/>
        <w:spacing w:lineRule="auto" w:line="240" w:before="240" w:after="0"/>
        <w:ind w:left="0" w:hanging="0"/>
        <w:jc w:val="both"/>
        <w:rPr>
          <w:rFonts w:ascii="Times New Roman" w:hAnsi="Times New Roman"/>
          <w:sz w:val="24"/>
          <w:szCs w:val="24"/>
        </w:rPr>
      </w:pPr>
      <w:r>
        <w:rPr>
          <w:sz w:val="24"/>
          <w:szCs w:val="24"/>
        </w:rPr>
        <w:t>(11) A beruházási és felújítási kiadásokat célonként és feladatonként a 13. melléklet és a 14. melléklet tartalmazza.</w:t>
      </w:r>
    </w:p>
    <w:p>
      <w:pPr>
        <w:pStyle w:val="TextBody"/>
        <w:bidi w:val="0"/>
        <w:spacing w:lineRule="auto" w:line="240" w:before="240" w:after="0"/>
        <w:ind w:left="0" w:hanging="0"/>
        <w:jc w:val="both"/>
        <w:rPr>
          <w:rFonts w:ascii="Times New Roman" w:hAnsi="Times New Roman"/>
          <w:sz w:val="24"/>
          <w:szCs w:val="24"/>
        </w:rPr>
      </w:pPr>
      <w:r>
        <w:rPr>
          <w:sz w:val="24"/>
          <w:szCs w:val="24"/>
        </w:rPr>
        <w:t>(12) Az önkormányzat összes létszámkeretét 447,75 főben állapítja meg a 15. mellékletben felsorolt költségvetési intézmények szerinti részletezésben. Közfoglalkoztatotti átlaglétszámot nem tervez.</w:t>
      </w:r>
    </w:p>
    <w:p>
      <w:pPr>
        <w:pStyle w:val="TextBody"/>
        <w:bidi w:val="0"/>
        <w:spacing w:lineRule="auto" w:line="240" w:before="240" w:after="0"/>
        <w:ind w:left="0" w:hanging="0"/>
        <w:jc w:val="both"/>
        <w:rPr>
          <w:rFonts w:ascii="Times New Roman" w:hAnsi="Times New Roman"/>
          <w:sz w:val="24"/>
          <w:szCs w:val="24"/>
        </w:rPr>
      </w:pPr>
      <w:r>
        <w:rPr>
          <w:sz w:val="24"/>
          <w:szCs w:val="24"/>
        </w:rPr>
        <w:t>(13) A többéves kihatással járó kötelezettségek kimutatását a 16. melléklet tartalmazza.</w:t>
      </w:r>
    </w:p>
    <w:p>
      <w:pPr>
        <w:pStyle w:val="TextBody"/>
        <w:bidi w:val="0"/>
        <w:spacing w:lineRule="auto" w:line="240" w:before="240" w:after="0"/>
        <w:ind w:left="0" w:hanging="0"/>
        <w:jc w:val="both"/>
        <w:rPr>
          <w:rFonts w:ascii="Times New Roman" w:hAnsi="Times New Roman"/>
          <w:sz w:val="24"/>
          <w:szCs w:val="24"/>
        </w:rPr>
      </w:pPr>
      <w:r>
        <w:rPr>
          <w:sz w:val="24"/>
          <w:szCs w:val="24"/>
        </w:rPr>
        <w:t>(14) A 2025. évi előirányzat felhasználási tervet a 17. melléklet tartalmazza.</w:t>
      </w:r>
    </w:p>
    <w:p>
      <w:pPr>
        <w:pStyle w:val="TextBody"/>
        <w:bidi w:val="0"/>
        <w:spacing w:lineRule="auto" w:line="240" w:before="240" w:after="0"/>
        <w:ind w:left="0" w:hanging="0"/>
        <w:jc w:val="both"/>
        <w:rPr>
          <w:rFonts w:ascii="Times New Roman" w:hAnsi="Times New Roman"/>
          <w:sz w:val="24"/>
          <w:szCs w:val="24"/>
        </w:rPr>
      </w:pPr>
      <w:r>
        <w:rPr>
          <w:sz w:val="24"/>
          <w:szCs w:val="24"/>
        </w:rPr>
        <w:t>(15) Az európai uniós támogatással megvalósuló projektek bevételeit, kiadásait a 18. melléklet tartalmazza.</w:t>
      </w:r>
    </w:p>
    <w:p>
      <w:pPr>
        <w:pStyle w:val="TextBody"/>
        <w:bidi w:val="0"/>
        <w:spacing w:lineRule="auto" w:line="240" w:before="240" w:after="0"/>
        <w:ind w:left="0" w:hanging="0"/>
        <w:jc w:val="both"/>
        <w:rPr>
          <w:rFonts w:ascii="Times New Roman" w:hAnsi="Times New Roman"/>
          <w:sz w:val="24"/>
          <w:szCs w:val="24"/>
        </w:rPr>
      </w:pPr>
      <w:r>
        <w:rPr>
          <w:sz w:val="24"/>
          <w:szCs w:val="24"/>
        </w:rPr>
        <w:t>(16) Az önkormányzat 2025. évben közvetett támogatások nyújtását (19. melléklet) nem tervezi.</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3. §</w:t>
      </w:r>
    </w:p>
    <w:p>
      <w:pPr>
        <w:pStyle w:val="TextBody"/>
        <w:bidi w:val="0"/>
        <w:spacing w:lineRule="auto" w:line="240" w:before="0" w:after="0"/>
        <w:ind w:left="0" w:hanging="0"/>
        <w:jc w:val="both"/>
        <w:rPr>
          <w:rFonts w:ascii="Times New Roman" w:hAnsi="Times New Roman"/>
          <w:sz w:val="24"/>
          <w:szCs w:val="24"/>
        </w:rPr>
      </w:pPr>
      <w:r>
        <w:rPr>
          <w:sz w:val="24"/>
          <w:szCs w:val="24"/>
        </w:rPr>
        <w:t>(1) Amennyiben év közben költségvetési hiány keletkezik, megszüntetéséhez szükséges pénzügyi fedezetet hitel felvételével kell biztosítani.</w:t>
      </w:r>
    </w:p>
    <w:p>
      <w:pPr>
        <w:pStyle w:val="TextBody"/>
        <w:bidi w:val="0"/>
        <w:spacing w:lineRule="auto" w:line="240" w:before="240" w:after="0"/>
        <w:ind w:left="0" w:hanging="0"/>
        <w:jc w:val="both"/>
        <w:rPr>
          <w:rFonts w:ascii="Times New Roman" w:hAnsi="Times New Roman"/>
          <w:sz w:val="24"/>
          <w:szCs w:val="24"/>
        </w:rPr>
      </w:pPr>
      <w:r>
        <w:rPr>
          <w:sz w:val="24"/>
          <w:szCs w:val="24"/>
        </w:rPr>
        <w:t>(2) Működési és felhalmozási célra hitel csak a Magyarország gazdasági stabilitásáról szóló 2011. évi CXCIV. törvény alapján vehető fel.</w:t>
      </w:r>
    </w:p>
    <w:p>
      <w:pPr>
        <w:pStyle w:val="TextBody"/>
        <w:bidi w:val="0"/>
        <w:spacing w:lineRule="auto" w:line="240" w:before="240" w:after="0"/>
        <w:ind w:left="0" w:hanging="0"/>
        <w:jc w:val="both"/>
        <w:rPr>
          <w:rFonts w:ascii="Times New Roman" w:hAnsi="Times New Roman"/>
          <w:sz w:val="24"/>
          <w:szCs w:val="24"/>
        </w:rPr>
      </w:pPr>
      <w:r>
        <w:rPr>
          <w:sz w:val="24"/>
          <w:szCs w:val="24"/>
        </w:rPr>
        <w:t>(3) A költségvetés évközi folyamatos végrehajtása biztosításának érdekében vagy az átmenetileg jelentkező likviditási gondok kezelésére, illetve a pénzügyi egyensúly fenntartásához folyószámlahitel felvételéről 500.000 E Ft értékhatárig a polgármester dönt. Erről a Pénzügyi és Gazdasági Bizottságot és a képviselő-testületet a következő ülésén tájékoztatni kell. Ennél magasabb összegről a Pénzügyi és Gazdasági Bizottság javaslata alapján a képviselő-testület dönt. A folyószámlahitel felvételére az előirányzat felhasználási és likviditási ütemtervvel összhangban kerülhet sor.</w:t>
      </w:r>
    </w:p>
    <w:p>
      <w:pPr>
        <w:pStyle w:val="TextBody"/>
        <w:bidi w:val="0"/>
        <w:spacing w:lineRule="auto" w:line="240" w:before="240" w:after="0"/>
        <w:ind w:left="0" w:hanging="0"/>
        <w:jc w:val="both"/>
        <w:rPr>
          <w:rFonts w:ascii="Times New Roman" w:hAnsi="Times New Roman"/>
          <w:sz w:val="24"/>
          <w:szCs w:val="24"/>
        </w:rPr>
      </w:pPr>
      <w:r>
        <w:rPr>
          <w:sz w:val="24"/>
          <w:szCs w:val="24"/>
        </w:rPr>
        <w:t>(4) A hitel időtartama egy évre szólhat. A likviditási hitel átlagos nagyságrendje a költségvetés bevételi részét képező önkormányzati saját bevételek 10 %-át nem haladhatja meg, de maximum 500.000 E Ft lehet.</w:t>
      </w:r>
    </w:p>
    <w:p>
      <w:pPr>
        <w:pStyle w:val="TextBody"/>
        <w:bidi w:val="0"/>
        <w:spacing w:lineRule="auto" w:line="240" w:before="240" w:after="0"/>
        <w:ind w:left="0" w:hanging="0"/>
        <w:jc w:val="both"/>
        <w:rPr>
          <w:rFonts w:ascii="Times New Roman" w:hAnsi="Times New Roman"/>
          <w:sz w:val="24"/>
          <w:szCs w:val="24"/>
        </w:rPr>
      </w:pPr>
      <w:r>
        <w:rPr>
          <w:sz w:val="24"/>
          <w:szCs w:val="24"/>
        </w:rPr>
        <w:t>(5) A képviselő-testület felhatalmazza a polgármestert a hitelszerződés aláírására.</w:t>
      </w:r>
    </w:p>
    <w:p>
      <w:pPr>
        <w:pStyle w:val="TextBody"/>
        <w:bidi w:val="0"/>
        <w:spacing w:lineRule="auto" w:line="240" w:before="240" w:after="0"/>
        <w:ind w:left="0" w:hanging="0"/>
        <w:jc w:val="both"/>
        <w:rPr>
          <w:rFonts w:ascii="Times New Roman" w:hAnsi="Times New Roman"/>
          <w:sz w:val="24"/>
          <w:szCs w:val="24"/>
        </w:rPr>
      </w:pPr>
      <w:r>
        <w:rPr>
          <w:sz w:val="24"/>
          <w:szCs w:val="24"/>
        </w:rPr>
        <w:t>(6) A képviselő-testület kötelezettséget vállal arra, hogy a hitel visszafizetés időtartama alatt a hitelt és járulékait - a fejlesztési kiadásokat megelőzően - a költségvetés összeállításakor betervezi és jóváhagyja.</w:t>
      </w:r>
    </w:p>
    <w:p>
      <w:pPr>
        <w:pStyle w:val="TextBody"/>
        <w:bidi w:val="0"/>
        <w:spacing w:lineRule="auto" w:line="240" w:before="240" w:after="0"/>
        <w:ind w:left="0" w:hanging="0"/>
        <w:jc w:val="both"/>
        <w:rPr>
          <w:rFonts w:ascii="Times New Roman" w:hAnsi="Times New Roman"/>
          <w:sz w:val="24"/>
          <w:szCs w:val="24"/>
        </w:rPr>
      </w:pPr>
      <w:r>
        <w:rPr>
          <w:sz w:val="24"/>
          <w:szCs w:val="24"/>
        </w:rPr>
        <w:t>(7) A képviselő-testület a hitel és járulékai visszafizetési kötelezettségeinek biztosítékaként a pénzintézet javára engedményezi az időarányosan képződő helyi adó bevételeit a hitel és járulékai erejéig.</w:t>
      </w:r>
    </w:p>
    <w:p>
      <w:pPr>
        <w:pStyle w:val="TextBody"/>
        <w:bidi w:val="0"/>
        <w:spacing w:lineRule="auto" w:line="240" w:before="280" w:after="0"/>
        <w:ind w:left="0" w:hanging="0"/>
        <w:jc w:val="center"/>
        <w:rPr>
          <w:rFonts w:ascii="Times New Roman" w:hAnsi="Times New Roman"/>
          <w:b/>
          <w:b/>
          <w:bCs/>
          <w:sz w:val="24"/>
          <w:szCs w:val="24"/>
        </w:rPr>
      </w:pPr>
      <w:r>
        <w:rPr>
          <w:b/>
          <w:bCs/>
          <w:sz w:val="24"/>
          <w:szCs w:val="24"/>
        </w:rPr>
        <w:t>3. Általános rendelkezések</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4. §</w:t>
      </w:r>
    </w:p>
    <w:p>
      <w:pPr>
        <w:pStyle w:val="TextBody"/>
        <w:bidi w:val="0"/>
        <w:spacing w:lineRule="auto" w:line="240" w:before="0" w:after="0"/>
        <w:ind w:left="0" w:hanging="0"/>
        <w:jc w:val="both"/>
        <w:rPr>
          <w:rFonts w:ascii="Times New Roman" w:hAnsi="Times New Roman"/>
          <w:sz w:val="24"/>
          <w:szCs w:val="24"/>
        </w:rPr>
      </w:pPr>
      <w:r>
        <w:rPr>
          <w:sz w:val="24"/>
          <w:szCs w:val="24"/>
        </w:rPr>
        <w:t>(1) Az éves költségvetést</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költségvetési alapokmányokban, valamint a szervezeti és működési szabályzatban részletezett feladatkörökben és kötelezettségek mellett,</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a szakmai hatékonyság és gazdaságosság, a vagyon rendeltetésszerű használata követelményeinek érvényesítésével,</w:t>
      </w:r>
    </w:p>
    <w:p>
      <w:pPr>
        <w:pStyle w:val="TextBody"/>
        <w:bidi w:val="0"/>
        <w:spacing w:lineRule="auto" w:line="240" w:before="0" w:after="0"/>
        <w:ind w:left="580" w:hanging="560"/>
        <w:jc w:val="both"/>
        <w:rPr>
          <w:rFonts w:ascii="Times New Roman" w:hAnsi="Times New Roman"/>
          <w:sz w:val="24"/>
          <w:szCs w:val="24"/>
        </w:rPr>
      </w:pPr>
      <w:r>
        <w:rPr>
          <w:i/>
          <w:iCs/>
          <w:sz w:val="24"/>
          <w:szCs w:val="24"/>
        </w:rPr>
        <w:t>c)</w:t>
      </w:r>
      <w:r>
        <w:rPr>
          <w:sz w:val="24"/>
          <w:szCs w:val="24"/>
        </w:rPr>
        <w:tab/>
        <w:t>a gazdálkodási és számviteli, továbbá a belső ellenőrzési előírások betartásával</w:t>
      </w:r>
    </w:p>
    <w:p>
      <w:pPr>
        <w:pStyle w:val="TextBody"/>
        <w:bidi w:val="0"/>
        <w:spacing w:lineRule="auto" w:line="240" w:before="0" w:after="0"/>
        <w:ind w:left="0" w:hanging="0"/>
        <w:jc w:val="both"/>
        <w:rPr>
          <w:rFonts w:ascii="Times New Roman" w:hAnsi="Times New Roman"/>
          <w:sz w:val="24"/>
          <w:szCs w:val="24"/>
        </w:rPr>
      </w:pPr>
      <w:r>
        <w:rPr>
          <w:sz w:val="24"/>
          <w:szCs w:val="24"/>
        </w:rPr>
        <w:t>kell végrehajtani.</w:t>
      </w:r>
    </w:p>
    <w:p>
      <w:pPr>
        <w:pStyle w:val="TextBody"/>
        <w:bidi w:val="0"/>
        <w:spacing w:lineRule="auto" w:line="240" w:before="240" w:after="0"/>
        <w:ind w:left="0" w:hanging="0"/>
        <w:jc w:val="both"/>
        <w:rPr>
          <w:rFonts w:ascii="Times New Roman" w:hAnsi="Times New Roman"/>
          <w:sz w:val="24"/>
          <w:szCs w:val="24"/>
        </w:rPr>
      </w:pPr>
      <w:r>
        <w:rPr>
          <w:sz w:val="24"/>
          <w:szCs w:val="24"/>
        </w:rPr>
        <w:t>(2) Az éves költségvetés tervezése, végrehajtása, valamint a végrehajtásról szóló beszámolás(ok) során azokban a kérdésekben, melyekre vonatkozóan e rendelet külön nem intézkedik különösen</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Magyarország helyi önkormányzatairól szóló 2011. évi CLXXXIX. törvény,</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az államháztartásról szóló többször módosított 2011. évi CXCV. törvény,</w:t>
      </w:r>
    </w:p>
    <w:p>
      <w:pPr>
        <w:pStyle w:val="TextBody"/>
        <w:bidi w:val="0"/>
        <w:spacing w:lineRule="auto" w:line="240" w:before="0" w:after="0"/>
        <w:ind w:left="580" w:hanging="560"/>
        <w:jc w:val="both"/>
        <w:rPr>
          <w:rFonts w:ascii="Times New Roman" w:hAnsi="Times New Roman"/>
          <w:sz w:val="24"/>
          <w:szCs w:val="24"/>
        </w:rPr>
      </w:pPr>
      <w:r>
        <w:rPr>
          <w:i/>
          <w:iCs/>
          <w:sz w:val="24"/>
          <w:szCs w:val="24"/>
        </w:rPr>
        <w:t>c)</w:t>
      </w:r>
      <w:r>
        <w:rPr>
          <w:sz w:val="24"/>
          <w:szCs w:val="24"/>
        </w:rPr>
        <w:tab/>
        <w:t>a számvitelről szóló többször módosított 2000. évi C. törvény,</w:t>
      </w:r>
    </w:p>
    <w:p>
      <w:pPr>
        <w:pStyle w:val="TextBody"/>
        <w:bidi w:val="0"/>
        <w:spacing w:lineRule="auto" w:line="240" w:before="0" w:after="0"/>
        <w:ind w:left="580" w:hanging="560"/>
        <w:jc w:val="both"/>
        <w:rPr>
          <w:rFonts w:ascii="Times New Roman" w:hAnsi="Times New Roman"/>
          <w:sz w:val="24"/>
          <w:szCs w:val="24"/>
        </w:rPr>
      </w:pPr>
      <w:r>
        <w:rPr>
          <w:i/>
          <w:iCs/>
          <w:sz w:val="24"/>
          <w:szCs w:val="24"/>
        </w:rPr>
        <w:t>d)</w:t>
      </w:r>
      <w:r>
        <w:rPr>
          <w:sz w:val="24"/>
          <w:szCs w:val="24"/>
        </w:rPr>
        <w:tab/>
        <w:t>a beszerzések, beruházások, felújítások végzése során a közbeszerzésekről szóló 2015. évi CXLIII. törvény,</w:t>
      </w:r>
    </w:p>
    <w:p>
      <w:pPr>
        <w:pStyle w:val="TextBody"/>
        <w:bidi w:val="0"/>
        <w:spacing w:lineRule="auto" w:line="240" w:before="0" w:after="0"/>
        <w:ind w:left="580" w:hanging="560"/>
        <w:jc w:val="both"/>
        <w:rPr>
          <w:rFonts w:ascii="Times New Roman" w:hAnsi="Times New Roman"/>
          <w:sz w:val="24"/>
          <w:szCs w:val="24"/>
        </w:rPr>
      </w:pPr>
      <w:r>
        <w:rPr>
          <w:i/>
          <w:iCs/>
          <w:sz w:val="24"/>
          <w:szCs w:val="24"/>
        </w:rPr>
        <w:t>e)</w:t>
      </w:r>
      <w:r>
        <w:rPr>
          <w:sz w:val="24"/>
          <w:szCs w:val="24"/>
        </w:rPr>
        <w:tab/>
        <w:t>az államháztartás működési rendjéről szóló többször módosított 368/2011. (XII.31.) Kormányrendelet,</w:t>
      </w:r>
    </w:p>
    <w:p>
      <w:pPr>
        <w:pStyle w:val="TextBody"/>
        <w:bidi w:val="0"/>
        <w:spacing w:lineRule="auto" w:line="240" w:before="0" w:after="0"/>
        <w:ind w:left="580" w:hanging="560"/>
        <w:jc w:val="both"/>
        <w:rPr>
          <w:rFonts w:ascii="Times New Roman" w:hAnsi="Times New Roman"/>
          <w:sz w:val="24"/>
          <w:szCs w:val="24"/>
        </w:rPr>
      </w:pPr>
      <w:r>
        <w:rPr>
          <w:i/>
          <w:iCs/>
          <w:sz w:val="24"/>
          <w:szCs w:val="24"/>
        </w:rPr>
        <w:t>f)</w:t>
      </w:r>
      <w:r>
        <w:rPr>
          <w:sz w:val="24"/>
          <w:szCs w:val="24"/>
        </w:rPr>
        <w:tab/>
        <w:t>az államháztartás számviteléről szóló 4/2013. (I.11.) Kormányrendelet,</w:t>
      </w:r>
    </w:p>
    <w:p>
      <w:pPr>
        <w:pStyle w:val="TextBody"/>
        <w:bidi w:val="0"/>
        <w:spacing w:lineRule="auto" w:line="240" w:before="0" w:after="0"/>
        <w:ind w:left="580" w:hanging="560"/>
        <w:jc w:val="both"/>
        <w:rPr>
          <w:rFonts w:ascii="Times New Roman" w:hAnsi="Times New Roman"/>
          <w:sz w:val="24"/>
          <w:szCs w:val="24"/>
        </w:rPr>
      </w:pPr>
      <w:r>
        <w:rPr>
          <w:i/>
          <w:iCs/>
          <w:sz w:val="24"/>
          <w:szCs w:val="24"/>
        </w:rPr>
        <w:t>g)</w:t>
      </w:r>
      <w:r>
        <w:rPr>
          <w:sz w:val="24"/>
          <w:szCs w:val="24"/>
        </w:rPr>
        <w:tab/>
        <w:t>Hajdúszoboszló város nemzeti vagyonáról szóló 10/2013. (IV.18.) önkormányzati rendelet</w:t>
      </w:r>
    </w:p>
    <w:p>
      <w:pPr>
        <w:pStyle w:val="TextBody"/>
        <w:bidi w:val="0"/>
        <w:spacing w:lineRule="auto" w:line="240" w:before="0" w:after="0"/>
        <w:ind w:left="0" w:hanging="0"/>
        <w:jc w:val="both"/>
        <w:rPr>
          <w:rFonts w:ascii="Times New Roman" w:hAnsi="Times New Roman"/>
          <w:sz w:val="24"/>
          <w:szCs w:val="24"/>
        </w:rPr>
      </w:pPr>
      <w:r>
        <w:rPr>
          <w:sz w:val="24"/>
          <w:szCs w:val="24"/>
        </w:rPr>
        <w:t>rendelkezései szerint kell eljárni.</w:t>
      </w:r>
    </w:p>
    <w:p>
      <w:pPr>
        <w:pStyle w:val="TextBody"/>
        <w:bidi w:val="0"/>
        <w:spacing w:lineRule="auto" w:line="240" w:before="240" w:after="0"/>
        <w:ind w:left="0" w:hanging="0"/>
        <w:jc w:val="both"/>
        <w:rPr>
          <w:rFonts w:ascii="Times New Roman" w:hAnsi="Times New Roman"/>
          <w:sz w:val="24"/>
          <w:szCs w:val="24"/>
        </w:rPr>
      </w:pPr>
      <w:r>
        <w:rPr>
          <w:sz w:val="24"/>
          <w:szCs w:val="24"/>
        </w:rPr>
        <w:t>(3) Az éves költségvetés végrehajtása során e rendelet hatálya alá tartozó szervek az árubeszerzéseik, építési beruházásaik és a szolgáltatások megrendelése során kötelesek a közbeszerzésekről szóló törvény, valamint érvényes szabályzataik előírásait alkalmazni.</w:t>
      </w:r>
    </w:p>
    <w:p>
      <w:pPr>
        <w:pStyle w:val="TextBody"/>
        <w:bidi w:val="0"/>
        <w:spacing w:lineRule="auto" w:line="240" w:before="240" w:after="0"/>
        <w:ind w:left="0" w:hanging="0"/>
        <w:jc w:val="both"/>
        <w:rPr>
          <w:rFonts w:ascii="Times New Roman" w:hAnsi="Times New Roman"/>
          <w:sz w:val="24"/>
          <w:szCs w:val="24"/>
        </w:rPr>
      </w:pPr>
      <w:r>
        <w:rPr>
          <w:sz w:val="24"/>
          <w:szCs w:val="24"/>
        </w:rPr>
        <w:t>(4) A költségvetési szervek minden pénzmozgásról kötelesek elszámolni. A költségvetési szervek minden költségvetési bevétele és költségvetési kiadása költségvetésük részét képezi.</w:t>
      </w:r>
    </w:p>
    <w:p>
      <w:pPr>
        <w:pStyle w:val="TextBody"/>
        <w:bidi w:val="0"/>
        <w:spacing w:lineRule="auto" w:line="240" w:before="240" w:after="0"/>
        <w:ind w:left="0" w:hanging="0"/>
        <w:jc w:val="both"/>
        <w:rPr>
          <w:rFonts w:ascii="Times New Roman" w:hAnsi="Times New Roman"/>
          <w:sz w:val="24"/>
          <w:szCs w:val="24"/>
        </w:rPr>
      </w:pPr>
      <w:r>
        <w:rPr>
          <w:sz w:val="24"/>
          <w:szCs w:val="24"/>
        </w:rPr>
        <w:t>(5) A költségvetési gazdálkodás a bevételi előirányzatok teljesítésének kötelezettségét és a kiadási előirányzatok felhasználásának jogosultságát foglalja magában.</w:t>
      </w:r>
    </w:p>
    <w:p>
      <w:pPr>
        <w:pStyle w:val="TextBody"/>
        <w:bidi w:val="0"/>
        <w:spacing w:lineRule="auto" w:line="240" w:before="240" w:after="0"/>
        <w:ind w:left="0" w:hanging="0"/>
        <w:jc w:val="both"/>
        <w:rPr>
          <w:rFonts w:ascii="Times New Roman" w:hAnsi="Times New Roman"/>
          <w:sz w:val="24"/>
          <w:szCs w:val="24"/>
        </w:rPr>
      </w:pPr>
      <w:r>
        <w:rPr>
          <w:sz w:val="24"/>
          <w:szCs w:val="24"/>
        </w:rPr>
        <w:t>(6) A költségvetés végrehajtása során tárgyévi fizetési kötelezettség a jóváhagyott kiadási előirányzatok mértékéig – a saját bevételek teljesülési ütemére figyelemmel – vállalható és kifizetések is ezen összeghatáráig rendelhetők el, kivéve a jogszabályon, bírósági, illetve államigazgatási jogerős határozaton alapuló kötelezettségeket és járandóságokat.</w:t>
      </w:r>
    </w:p>
    <w:p>
      <w:pPr>
        <w:pStyle w:val="TextBody"/>
        <w:bidi w:val="0"/>
        <w:spacing w:lineRule="auto" w:line="240" w:before="240" w:after="0"/>
        <w:ind w:left="0" w:hanging="0"/>
        <w:jc w:val="both"/>
        <w:rPr>
          <w:rFonts w:ascii="Times New Roman" w:hAnsi="Times New Roman"/>
          <w:sz w:val="24"/>
          <w:szCs w:val="24"/>
        </w:rPr>
      </w:pPr>
      <w:r>
        <w:rPr>
          <w:sz w:val="24"/>
          <w:szCs w:val="24"/>
        </w:rPr>
        <w:t>(7) Tárgyéven túli fizetési kötelezettség csak olyan mértékben vállalható, amely a kötelezettségvállalás időpontjában ismert feltételek mellett az esedékesség időpontjában, a rendeltetésszerű működés veszélyeztetése nélkül finanszírozható, kivéve a jogszabályon, bírósági, illetve államigazgatási jogerős döntésen alapuló kötelezettségeket.</w:t>
      </w:r>
    </w:p>
    <w:p>
      <w:pPr>
        <w:pStyle w:val="TextBody"/>
        <w:bidi w:val="0"/>
        <w:spacing w:lineRule="auto" w:line="240" w:before="240" w:after="0"/>
        <w:ind w:left="0" w:hanging="0"/>
        <w:jc w:val="both"/>
        <w:rPr>
          <w:rFonts w:ascii="Times New Roman" w:hAnsi="Times New Roman"/>
          <w:sz w:val="24"/>
          <w:szCs w:val="24"/>
        </w:rPr>
      </w:pPr>
      <w:r>
        <w:rPr>
          <w:sz w:val="24"/>
          <w:szCs w:val="24"/>
        </w:rPr>
        <w:t>(8) A költségvetési intézményeknél a saját bevételek tervezésénél az étkezési térítési díjak vonatkozásában 10 %-os bevételnövekedés tervezhető, ezen bevétel elmaradása nem vonja maga után a költségvetési támogatás növekedését.</w:t>
      </w:r>
    </w:p>
    <w:p>
      <w:pPr>
        <w:pStyle w:val="TextBody"/>
        <w:bidi w:val="0"/>
        <w:spacing w:lineRule="auto" w:line="240" w:before="240" w:after="0"/>
        <w:ind w:left="0" w:hanging="0"/>
        <w:jc w:val="both"/>
        <w:rPr>
          <w:rFonts w:ascii="Times New Roman" w:hAnsi="Times New Roman"/>
          <w:sz w:val="24"/>
          <w:szCs w:val="24"/>
        </w:rPr>
      </w:pPr>
      <w:r>
        <w:rPr>
          <w:sz w:val="24"/>
          <w:szCs w:val="24"/>
        </w:rPr>
        <w:t>(9) Az önkormányzat felügyelete alá tartozó költségvetési szerv</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hitelt nem vehet fel,</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kezességet nem vállalhat,</w:t>
      </w:r>
    </w:p>
    <w:p>
      <w:pPr>
        <w:pStyle w:val="TextBody"/>
        <w:bidi w:val="0"/>
        <w:spacing w:lineRule="auto" w:line="240" w:before="0" w:after="0"/>
        <w:ind w:left="580" w:hanging="560"/>
        <w:jc w:val="both"/>
        <w:rPr>
          <w:rFonts w:ascii="Times New Roman" w:hAnsi="Times New Roman"/>
          <w:sz w:val="24"/>
          <w:szCs w:val="24"/>
        </w:rPr>
      </w:pPr>
      <w:r>
        <w:rPr>
          <w:i/>
          <w:iCs/>
          <w:sz w:val="24"/>
          <w:szCs w:val="24"/>
        </w:rPr>
        <w:t>c)</w:t>
      </w:r>
      <w:r>
        <w:rPr>
          <w:sz w:val="24"/>
          <w:szCs w:val="24"/>
        </w:rPr>
        <w:tab/>
        <w:t>értékpapírt nem vásárolhat,</w:t>
      </w:r>
    </w:p>
    <w:p>
      <w:pPr>
        <w:pStyle w:val="TextBody"/>
        <w:bidi w:val="0"/>
        <w:spacing w:lineRule="auto" w:line="240" w:before="0" w:after="0"/>
        <w:ind w:left="580" w:hanging="560"/>
        <w:jc w:val="both"/>
        <w:rPr>
          <w:rFonts w:ascii="Times New Roman" w:hAnsi="Times New Roman"/>
          <w:sz w:val="24"/>
          <w:szCs w:val="24"/>
        </w:rPr>
      </w:pPr>
      <w:r>
        <w:rPr>
          <w:i/>
          <w:iCs/>
          <w:sz w:val="24"/>
          <w:szCs w:val="24"/>
        </w:rPr>
        <w:t>d)</w:t>
      </w:r>
      <w:r>
        <w:rPr>
          <w:sz w:val="24"/>
          <w:szCs w:val="24"/>
        </w:rPr>
        <w:tab/>
        <w:t>váltót nem bocsáthat ki és nem fogadhat el,</w:t>
      </w:r>
    </w:p>
    <w:p>
      <w:pPr>
        <w:pStyle w:val="TextBody"/>
        <w:bidi w:val="0"/>
        <w:spacing w:lineRule="auto" w:line="240" w:before="0" w:after="0"/>
        <w:ind w:left="580" w:hanging="560"/>
        <w:jc w:val="both"/>
        <w:rPr>
          <w:rFonts w:ascii="Times New Roman" w:hAnsi="Times New Roman"/>
          <w:sz w:val="24"/>
          <w:szCs w:val="24"/>
        </w:rPr>
      </w:pPr>
      <w:r>
        <w:rPr>
          <w:i/>
          <w:iCs/>
          <w:sz w:val="24"/>
          <w:szCs w:val="24"/>
        </w:rPr>
        <w:t>e)</w:t>
      </w:r>
      <w:r>
        <w:rPr>
          <w:sz w:val="24"/>
          <w:szCs w:val="24"/>
        </w:rPr>
        <w:tab/>
        <w:t>kötvényt nem bocsáthat ki.</w:t>
      </w:r>
    </w:p>
    <w:p>
      <w:pPr>
        <w:pStyle w:val="TextBody"/>
        <w:bidi w:val="0"/>
        <w:spacing w:lineRule="auto" w:line="240" w:before="240" w:after="0"/>
        <w:ind w:left="0" w:hanging="0"/>
        <w:jc w:val="both"/>
        <w:rPr>
          <w:rFonts w:ascii="Times New Roman" w:hAnsi="Times New Roman"/>
          <w:sz w:val="24"/>
          <w:szCs w:val="24"/>
        </w:rPr>
      </w:pPr>
      <w:r>
        <w:rPr>
          <w:sz w:val="24"/>
          <w:szCs w:val="24"/>
        </w:rPr>
        <w:t>(10) A költségvetési szerv vezetője felelős a feladatai ellátásához a költségvetési szerv vagyonkezelésébe, használatába adott vagyon rendeltetésszerű igénybevételéért, annak káresemény bekövetkezést követő biztosítási alkusz felé történő azonnali bejelentésért, az alapító okiratban előírt tevékenységek jogszabályban meghatározott követelményeknek megfelelő ellátásáért, a költségvetési szerv gazdálkodásában a szakmai hatékonyság és a gazdaságosság követelményeinek érvényesítéséért, a tervezési, beszámolási információszolgáltatási kötelezettség teljesítéséért, annak teljességéért és hitelességéért, a gazdálkodási lehetőségek és a kötelezettségek összhangjáért, az intézményi számviteli rendért, a folyamatba épített, előzetes és utólagos vezetői ellenőrzés megszervezéséért és hatékony működéséért. A belső ellenőrzés feladatait külső ellenőrzési szervezet végzi.</w:t>
      </w:r>
    </w:p>
    <w:p>
      <w:pPr>
        <w:pStyle w:val="TextBody"/>
        <w:bidi w:val="0"/>
        <w:spacing w:lineRule="auto" w:line="240" w:before="240" w:after="0"/>
        <w:ind w:left="0" w:hanging="0"/>
        <w:jc w:val="both"/>
        <w:rPr>
          <w:rFonts w:ascii="Times New Roman" w:hAnsi="Times New Roman"/>
          <w:sz w:val="24"/>
          <w:szCs w:val="24"/>
        </w:rPr>
      </w:pPr>
      <w:r>
        <w:rPr>
          <w:sz w:val="24"/>
          <w:szCs w:val="24"/>
        </w:rPr>
        <w:t>(11) Az intézményvezetőt fegyelmi felelősség terheli az intézmény gazdálkodásáért. A jelen rendelet mellékleteiben foglalt kiemelt kiadási előirányzatok túllépése, illetve jelen rendelet szabályainak be nem tartása munkáltatói fegyelmi intézkedést vonhat maga után.</w:t>
      </w:r>
    </w:p>
    <w:p>
      <w:pPr>
        <w:pStyle w:val="TextBody"/>
        <w:bidi w:val="0"/>
        <w:spacing w:lineRule="auto" w:line="240" w:before="240" w:after="0"/>
        <w:ind w:left="0" w:hanging="0"/>
        <w:jc w:val="both"/>
        <w:rPr>
          <w:rFonts w:ascii="Times New Roman" w:hAnsi="Times New Roman"/>
          <w:sz w:val="24"/>
          <w:szCs w:val="24"/>
        </w:rPr>
      </w:pPr>
      <w:r>
        <w:rPr>
          <w:sz w:val="24"/>
          <w:szCs w:val="24"/>
        </w:rPr>
        <w:t>(12) Az állami hozzájárulás 2024. évi elszámolásához kapcsolódó befizetési kötelezettség teljesítése érdekében az érintett intézmények részére befizetési kötelezettség írható elő, melyről a képviselő-testület a 2024. évről szóló zárszámadás elfogadásakor dönt.</w:t>
      </w:r>
    </w:p>
    <w:p>
      <w:pPr>
        <w:pStyle w:val="TextBody"/>
        <w:bidi w:val="0"/>
        <w:spacing w:lineRule="auto" w:line="240" w:before="240" w:after="0"/>
        <w:ind w:left="0" w:hanging="0"/>
        <w:jc w:val="both"/>
        <w:rPr>
          <w:rFonts w:ascii="Times New Roman" w:hAnsi="Times New Roman"/>
          <w:sz w:val="24"/>
          <w:szCs w:val="24"/>
        </w:rPr>
      </w:pPr>
      <w:r>
        <w:rPr>
          <w:sz w:val="24"/>
          <w:szCs w:val="24"/>
        </w:rPr>
        <w:t>(13) Intézményi körben – az eredeti, illetve a módosított személyi juttatás előirányzat terhére – jutalom kifizetésére csak abban az esetben kerülhet sor, ha annak fedezetét az intézmény önkormányzati támogatási többletigény nélkül biztosítani tudja, továbbá, ha biztosított az intézményben a foglalkoztatással összefüggő valamennyi jogszabályi kötelezettség kifizetésének fedezete.</w:t>
      </w:r>
    </w:p>
    <w:p>
      <w:pPr>
        <w:pStyle w:val="TextBody"/>
        <w:bidi w:val="0"/>
        <w:spacing w:lineRule="auto" w:line="240" w:before="240" w:after="0"/>
        <w:ind w:left="0" w:hanging="0"/>
        <w:jc w:val="both"/>
        <w:rPr>
          <w:rFonts w:ascii="Times New Roman" w:hAnsi="Times New Roman"/>
          <w:sz w:val="24"/>
          <w:szCs w:val="24"/>
        </w:rPr>
      </w:pPr>
      <w:r>
        <w:rPr>
          <w:sz w:val="24"/>
          <w:szCs w:val="24"/>
        </w:rPr>
        <w:t>(14) Az intézményeknél túlóra, készenléti, helyettesítési díj elszámolására, kifizetésére átalány alkalmazásával nem kerülhet sor. Az intézmény vezetőjének a tételes túlóra, készenléti-, helyettesítési díj elszámolásához, kifizetéséhez naprakész, ellenőrizhető analitikus nyilvántartást kell kialakítani, melynek ellenőrzött vezetéséért felelősséggel tartozik.</w:t>
      </w:r>
    </w:p>
    <w:p>
      <w:pPr>
        <w:pStyle w:val="TextBody"/>
        <w:bidi w:val="0"/>
        <w:spacing w:lineRule="auto" w:line="240" w:before="240" w:after="0"/>
        <w:ind w:left="0" w:hanging="0"/>
        <w:jc w:val="both"/>
        <w:rPr>
          <w:rFonts w:ascii="Times New Roman" w:hAnsi="Times New Roman"/>
          <w:sz w:val="24"/>
          <w:szCs w:val="24"/>
        </w:rPr>
      </w:pPr>
      <w:r>
        <w:rPr>
          <w:sz w:val="24"/>
          <w:szCs w:val="24"/>
        </w:rPr>
        <w:t>(15) A tartósan távol lévő dolgozó helyettesítésére olyan dolgozó vehető fel, akinek bérét az intézmény saját költségvetése terhére biztosítja. Megbízási díj saját dolgozó részére csak ténylegesen igazolható, a munkakörébe nem tartozó többletfeladatok elvégzéséért fizethető.</w:t>
      </w:r>
    </w:p>
    <w:p>
      <w:pPr>
        <w:pStyle w:val="TextBody"/>
        <w:bidi w:val="0"/>
        <w:spacing w:lineRule="auto" w:line="240" w:before="240" w:after="0"/>
        <w:ind w:left="0" w:hanging="0"/>
        <w:jc w:val="both"/>
        <w:rPr>
          <w:rFonts w:ascii="Times New Roman" w:hAnsi="Times New Roman"/>
          <w:sz w:val="24"/>
          <w:szCs w:val="24"/>
        </w:rPr>
      </w:pPr>
      <w:r>
        <w:rPr>
          <w:sz w:val="24"/>
          <w:szCs w:val="24"/>
        </w:rPr>
        <w:t>(16) A személyi juttatások előirányzatának évközi maradványa (átmeneti bérmegtakarítás) a költségvetési szerv hatáskörében felhasználható többletmunka, célfeladat díjazására, kiemelkedő teljesítmény jutalmazására.</w:t>
      </w:r>
    </w:p>
    <w:p>
      <w:pPr>
        <w:pStyle w:val="TextBody"/>
        <w:bidi w:val="0"/>
        <w:spacing w:lineRule="auto" w:line="240" w:before="240" w:after="0"/>
        <w:ind w:left="0" w:hanging="0"/>
        <w:jc w:val="both"/>
        <w:rPr>
          <w:rFonts w:ascii="Times New Roman" w:hAnsi="Times New Roman"/>
          <w:sz w:val="24"/>
          <w:szCs w:val="24"/>
        </w:rPr>
      </w:pPr>
      <w:r>
        <w:rPr>
          <w:sz w:val="24"/>
          <w:szCs w:val="24"/>
        </w:rPr>
        <w:t>(17) Amennyiben a (16) bekezdésben megjelölt maradvány felhasználása oly módon történik, hogy az arra jutó járulék-maradvány nem kerül felhasználásra, úgy az a képviselő-testület döntését követően az intézmény dologi kiadásai között felhasználható. A felhasználást oly módon kell végrehajtani, hogy azok a kiadások kerüljenek megemelésre, melyek teljesítése meghaladná a tervezett előirányzatot. Az intézmény által benyújtandó pótigényeknél ezt a járulék-maradványt be kell számítani.</w:t>
      </w:r>
    </w:p>
    <w:p>
      <w:pPr>
        <w:pStyle w:val="TextBody"/>
        <w:bidi w:val="0"/>
        <w:spacing w:lineRule="auto" w:line="240" w:before="240" w:after="0"/>
        <w:ind w:left="0" w:hanging="0"/>
        <w:jc w:val="both"/>
        <w:rPr>
          <w:rFonts w:ascii="Times New Roman" w:hAnsi="Times New Roman"/>
          <w:sz w:val="24"/>
          <w:szCs w:val="24"/>
        </w:rPr>
      </w:pPr>
      <w:r>
        <w:rPr>
          <w:sz w:val="24"/>
          <w:szCs w:val="24"/>
        </w:rPr>
        <w:t>(18) Szakmai alapfeladat keretében szellemi tevékenység szerződéssel, számla ellenében történő igénybevételére külső személlyel, szervezettel szerződés az illetékes szakbizottság(ok) engedélyével köthető.</w:t>
      </w:r>
    </w:p>
    <w:p>
      <w:pPr>
        <w:pStyle w:val="TextBody"/>
        <w:bidi w:val="0"/>
        <w:spacing w:lineRule="auto" w:line="240" w:before="240" w:after="0"/>
        <w:ind w:left="0" w:hanging="0"/>
        <w:jc w:val="both"/>
        <w:rPr>
          <w:rFonts w:ascii="Times New Roman" w:hAnsi="Times New Roman"/>
          <w:sz w:val="24"/>
          <w:szCs w:val="24"/>
        </w:rPr>
      </w:pPr>
      <w:r>
        <w:rPr>
          <w:sz w:val="24"/>
          <w:szCs w:val="24"/>
        </w:rPr>
        <w:t>(19) A költségvetési szerv a részére jelen rendelet 8. melléklet 1. pontjában jóváhagyott kiemelt előirányzatokat nem lépheti túl.</w:t>
      </w:r>
    </w:p>
    <w:p>
      <w:pPr>
        <w:pStyle w:val="TextBody"/>
        <w:bidi w:val="0"/>
        <w:spacing w:lineRule="auto" w:line="240" w:before="240" w:after="0"/>
        <w:ind w:left="0" w:hanging="0"/>
        <w:jc w:val="both"/>
        <w:rPr>
          <w:rFonts w:ascii="Times New Roman" w:hAnsi="Times New Roman"/>
          <w:sz w:val="24"/>
          <w:szCs w:val="24"/>
        </w:rPr>
      </w:pPr>
      <w:r>
        <w:rPr>
          <w:sz w:val="24"/>
          <w:szCs w:val="24"/>
        </w:rPr>
        <w:t>(20) Az átszervezés alatt álló intézmények a kiemelt előirányzataikat az átszervezés időpontjáig csak időarányosan használhatják fel.</w:t>
      </w:r>
    </w:p>
    <w:p>
      <w:pPr>
        <w:pStyle w:val="TextBody"/>
        <w:bidi w:val="0"/>
        <w:spacing w:lineRule="auto" w:line="240" w:before="240" w:after="0"/>
        <w:ind w:left="0" w:hanging="0"/>
        <w:jc w:val="both"/>
        <w:rPr>
          <w:rFonts w:ascii="Times New Roman" w:hAnsi="Times New Roman"/>
          <w:sz w:val="24"/>
          <w:szCs w:val="24"/>
        </w:rPr>
      </w:pPr>
      <w:r>
        <w:rPr>
          <w:sz w:val="24"/>
          <w:szCs w:val="24"/>
        </w:rPr>
        <w:t>(21) Az átszervezés alatt álló intézmények vezetői humánpolitikai intézkedést csak a fenntartó engedélyével tehetnek.</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5. §</w:t>
      </w:r>
    </w:p>
    <w:p>
      <w:pPr>
        <w:pStyle w:val="TextBody"/>
        <w:bidi w:val="0"/>
        <w:spacing w:lineRule="auto" w:line="240" w:before="0" w:after="0"/>
        <w:ind w:left="0" w:hanging="0"/>
        <w:jc w:val="both"/>
        <w:rPr>
          <w:rFonts w:ascii="Times New Roman" w:hAnsi="Times New Roman"/>
          <w:sz w:val="24"/>
          <w:szCs w:val="24"/>
        </w:rPr>
      </w:pPr>
      <w:r>
        <w:rPr>
          <w:sz w:val="24"/>
          <w:szCs w:val="24"/>
        </w:rPr>
        <w:t>(1) Ha évközben az Országgyűlés, a Kormány, illetve valamely költségvetési fejezet vagy elkülönített állami pénzalap az önkormányzat számára pótelőirányzatot biztosít, erről a polgármesternek</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június 30-ai hatállyal,</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szeptember 30-ai hatállyal, illetve legkésőbb</w:t>
      </w:r>
    </w:p>
    <w:p>
      <w:pPr>
        <w:pStyle w:val="TextBody"/>
        <w:bidi w:val="0"/>
        <w:spacing w:lineRule="auto" w:line="240" w:before="0" w:after="0"/>
        <w:ind w:left="580" w:hanging="560"/>
        <w:jc w:val="both"/>
        <w:rPr>
          <w:rFonts w:ascii="Times New Roman" w:hAnsi="Times New Roman"/>
          <w:sz w:val="24"/>
          <w:szCs w:val="24"/>
        </w:rPr>
      </w:pPr>
      <w:r>
        <w:rPr>
          <w:i/>
          <w:iCs/>
          <w:sz w:val="24"/>
          <w:szCs w:val="24"/>
        </w:rPr>
        <w:t>c)</w:t>
      </w:r>
      <w:r>
        <w:rPr>
          <w:sz w:val="24"/>
          <w:szCs w:val="24"/>
        </w:rPr>
        <w:tab/>
        <w:t>az éves beszámolóval egyidejűleg utólag</w:t>
      </w:r>
    </w:p>
    <w:p>
      <w:pPr>
        <w:pStyle w:val="TextBody"/>
        <w:bidi w:val="0"/>
        <w:spacing w:lineRule="auto" w:line="240" w:before="0" w:after="0"/>
        <w:ind w:left="0" w:hanging="0"/>
        <w:jc w:val="both"/>
        <w:rPr>
          <w:rFonts w:ascii="Times New Roman" w:hAnsi="Times New Roman"/>
          <w:sz w:val="24"/>
          <w:szCs w:val="24"/>
        </w:rPr>
      </w:pPr>
      <w:r>
        <w:rPr>
          <w:sz w:val="24"/>
          <w:szCs w:val="24"/>
        </w:rPr>
        <w:t>kell a képviselő-testületet tájékoztatnia.</w:t>
      </w:r>
    </w:p>
    <w:p>
      <w:pPr>
        <w:pStyle w:val="TextBody"/>
        <w:bidi w:val="0"/>
        <w:spacing w:lineRule="auto" w:line="240" w:before="240" w:after="0"/>
        <w:ind w:left="0" w:hanging="0"/>
        <w:jc w:val="both"/>
        <w:rPr>
          <w:rFonts w:ascii="Times New Roman" w:hAnsi="Times New Roman"/>
          <w:sz w:val="24"/>
          <w:szCs w:val="24"/>
        </w:rPr>
      </w:pPr>
      <w:r>
        <w:rPr>
          <w:sz w:val="24"/>
          <w:szCs w:val="24"/>
        </w:rPr>
        <w:t>(2) Ha évközben az Országgyűlés előirányzatot zárol az önkormányzat költségvetéséből, annak kihirdetését követően haladéktalanul a képviselő-testület elé kell terjeszteni a költségvetési rendelet módosítását.</w:t>
      </w:r>
    </w:p>
    <w:p>
      <w:pPr>
        <w:pStyle w:val="TextBody"/>
        <w:bidi w:val="0"/>
        <w:spacing w:lineRule="auto" w:line="240" w:before="240" w:after="0"/>
        <w:ind w:left="0" w:hanging="0"/>
        <w:jc w:val="both"/>
        <w:rPr>
          <w:rFonts w:ascii="Times New Roman" w:hAnsi="Times New Roman"/>
          <w:sz w:val="24"/>
          <w:szCs w:val="24"/>
        </w:rPr>
      </w:pPr>
      <w:r>
        <w:rPr>
          <w:sz w:val="24"/>
          <w:szCs w:val="24"/>
        </w:rPr>
        <w:t>(3) Pénzügyi tartalmú, vagy a költségvetés évében, illetve az azt követő években pénzügyi kihatással járó előterjesztések, csak a Pénzügyi és Gazdasági Bizottság véleményével terjeszthetők a képviselő-testület elé.</w:t>
      </w:r>
    </w:p>
    <w:p>
      <w:pPr>
        <w:pStyle w:val="TextBody"/>
        <w:bidi w:val="0"/>
        <w:spacing w:lineRule="auto" w:line="240" w:before="240" w:after="0"/>
        <w:ind w:left="0" w:hanging="0"/>
        <w:jc w:val="both"/>
        <w:rPr>
          <w:rFonts w:ascii="Times New Roman" w:hAnsi="Times New Roman"/>
          <w:sz w:val="24"/>
          <w:szCs w:val="24"/>
        </w:rPr>
      </w:pPr>
      <w:r>
        <w:rPr>
          <w:sz w:val="24"/>
          <w:szCs w:val="24"/>
        </w:rPr>
        <w:t>(4) Az átmenetileg szabad pénzeszközök (az „a” pont esetében kizárólag az átvett pénzeszközök) pénzintézetnél betétként történő elhelyezéséről</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intézmény esetében a számlavezető pénzintézetnél – a gazdasági vezető javaslata alapján – az intézmény vezetője,</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az önkormányzat vonatkozásában - a gazdasági szervezet vezetőjének javaslata alapján - a polgármester</w:t>
      </w:r>
    </w:p>
    <w:p>
      <w:pPr>
        <w:pStyle w:val="TextBody"/>
        <w:bidi w:val="0"/>
        <w:spacing w:lineRule="auto" w:line="240" w:before="0" w:after="0"/>
        <w:ind w:left="0" w:hanging="0"/>
        <w:jc w:val="both"/>
        <w:rPr>
          <w:rFonts w:ascii="Times New Roman" w:hAnsi="Times New Roman"/>
          <w:sz w:val="24"/>
          <w:szCs w:val="24"/>
        </w:rPr>
      </w:pPr>
      <w:r>
        <w:rPr>
          <w:sz w:val="24"/>
          <w:szCs w:val="24"/>
        </w:rPr>
        <w:t>dönt.</w:t>
      </w:r>
    </w:p>
    <w:p>
      <w:pPr>
        <w:pStyle w:val="TextBody"/>
        <w:bidi w:val="0"/>
        <w:spacing w:lineRule="auto" w:line="240" w:before="240" w:after="0"/>
        <w:ind w:left="0" w:hanging="0"/>
        <w:jc w:val="both"/>
        <w:rPr>
          <w:rFonts w:ascii="Times New Roman" w:hAnsi="Times New Roman"/>
          <w:sz w:val="24"/>
          <w:szCs w:val="24"/>
        </w:rPr>
      </w:pPr>
      <w:r>
        <w:rPr>
          <w:sz w:val="24"/>
          <w:szCs w:val="24"/>
        </w:rPr>
        <w:t>(5) Átmenetileg szabad önkormányzati pénzeszközök terhére a polgármester döntése alapján vásárolható és forgatható – elsődleges forgalomban lévő, egy évnél rövidebb (éven belüli) lejáratú, államilag garantált – értékpapír.</w:t>
      </w:r>
    </w:p>
    <w:p>
      <w:pPr>
        <w:pStyle w:val="TextBody"/>
        <w:bidi w:val="0"/>
        <w:spacing w:lineRule="auto" w:line="240" w:before="240" w:after="0"/>
        <w:ind w:left="0" w:hanging="0"/>
        <w:jc w:val="both"/>
        <w:rPr>
          <w:rFonts w:ascii="Times New Roman" w:hAnsi="Times New Roman"/>
          <w:sz w:val="24"/>
          <w:szCs w:val="24"/>
        </w:rPr>
      </w:pPr>
      <w:r>
        <w:rPr>
          <w:sz w:val="24"/>
          <w:szCs w:val="24"/>
        </w:rPr>
        <w:t>(6) A képviselő-testület a költségvetési szervek átszervezésével kapcsolatos előirányzatok átcsoportosítási jogát magának tartja fenn.</w:t>
      </w:r>
    </w:p>
    <w:p>
      <w:pPr>
        <w:pStyle w:val="TextBody"/>
        <w:bidi w:val="0"/>
        <w:spacing w:lineRule="auto" w:line="240" w:before="240" w:after="0"/>
        <w:ind w:left="0" w:hanging="0"/>
        <w:jc w:val="both"/>
        <w:rPr>
          <w:rFonts w:ascii="Times New Roman" w:hAnsi="Times New Roman"/>
          <w:sz w:val="24"/>
          <w:szCs w:val="24"/>
        </w:rPr>
      </w:pPr>
      <w:r>
        <w:rPr>
          <w:sz w:val="24"/>
          <w:szCs w:val="24"/>
        </w:rPr>
        <w:t>(7) Indokolt esetben feladatok közötti előirányzat átcsoportosításra - a feladatelmaradást kivéve – jogosultak még jelen rendelet alapján:</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Önkormányzat feladatai között (8. melléklet 2. pont) a Pénzügyi és Gazdasági Bizottság,</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Városüzemeltetési feladatok (9. melléklet) körében a Városfejlesztési és Műszaki Bizottság,</w:t>
      </w:r>
    </w:p>
    <w:p>
      <w:pPr>
        <w:pStyle w:val="TextBody"/>
        <w:bidi w:val="0"/>
        <w:spacing w:lineRule="auto" w:line="240" w:before="0" w:after="0"/>
        <w:ind w:left="580" w:hanging="560"/>
        <w:jc w:val="both"/>
        <w:rPr>
          <w:rFonts w:ascii="Times New Roman" w:hAnsi="Times New Roman"/>
          <w:sz w:val="24"/>
          <w:szCs w:val="24"/>
        </w:rPr>
      </w:pPr>
      <w:r>
        <w:rPr>
          <w:i/>
          <w:iCs/>
          <w:sz w:val="24"/>
          <w:szCs w:val="24"/>
        </w:rPr>
        <w:t>c)</w:t>
      </w:r>
      <w:r>
        <w:rPr>
          <w:sz w:val="24"/>
          <w:szCs w:val="24"/>
        </w:rPr>
        <w:tab/>
        <w:t>Szociálpolitikai feladatok (10. melléklet) körében – a szünidei gyermekétkeztetés kivételével – a Szociális és Egészségügyi Bizottság.</w:t>
      </w:r>
    </w:p>
    <w:p>
      <w:pPr>
        <w:pStyle w:val="TextBody"/>
        <w:bidi w:val="0"/>
        <w:spacing w:lineRule="auto" w:line="240" w:before="240" w:after="0"/>
        <w:ind w:left="0" w:hanging="0"/>
        <w:jc w:val="both"/>
        <w:rPr>
          <w:rFonts w:ascii="Times New Roman" w:hAnsi="Times New Roman"/>
          <w:sz w:val="24"/>
          <w:szCs w:val="24"/>
        </w:rPr>
      </w:pPr>
      <w:r>
        <w:rPr>
          <w:sz w:val="24"/>
          <w:szCs w:val="24"/>
        </w:rPr>
        <w:t>(8) A (7) bekezdésben rögzített átcsoportosítások a feladatok ellátását nem veszélyeztethetik. Ezen átcsoportosításokat a képviselő-testület ülésén írásban az 5. § (1) bekezdés szerinti alkalmakkor be kell jelenteni.</w:t>
      </w:r>
    </w:p>
    <w:p>
      <w:pPr>
        <w:pStyle w:val="TextBody"/>
        <w:bidi w:val="0"/>
        <w:spacing w:lineRule="auto" w:line="240" w:before="280" w:after="0"/>
        <w:ind w:left="0" w:hanging="0"/>
        <w:jc w:val="center"/>
        <w:rPr>
          <w:rFonts w:ascii="Times New Roman" w:hAnsi="Times New Roman"/>
          <w:b/>
          <w:b/>
          <w:bCs/>
          <w:sz w:val="24"/>
          <w:szCs w:val="24"/>
        </w:rPr>
      </w:pPr>
      <w:r>
        <w:rPr>
          <w:b/>
          <w:bCs/>
          <w:sz w:val="24"/>
          <w:szCs w:val="24"/>
        </w:rPr>
        <w:t>4. Az önkormányzati költségvetési szervek gazdálkodására vonatkozó szabályok</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6. §</w:t>
      </w:r>
    </w:p>
    <w:p>
      <w:pPr>
        <w:pStyle w:val="TextBody"/>
        <w:bidi w:val="0"/>
        <w:spacing w:lineRule="auto" w:line="240" w:before="0" w:after="0"/>
        <w:ind w:left="0" w:hanging="0"/>
        <w:jc w:val="both"/>
        <w:rPr>
          <w:rFonts w:ascii="Times New Roman" w:hAnsi="Times New Roman"/>
          <w:sz w:val="24"/>
          <w:szCs w:val="24"/>
        </w:rPr>
      </w:pPr>
      <w:r>
        <w:rPr>
          <w:sz w:val="24"/>
          <w:szCs w:val="24"/>
        </w:rPr>
        <w:t>(1) Az intézmény saját előirányzat-módosítási hatáskörében eljárva, bevételi és kiadási előirányzatának főösszegét, a kiemelt előirányzatokat és a megfelelő rész-előirányzatokat módosíthatja (felemelheti):</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a tervezett összelőirányzatot meghaladó többletbevételből (melynek kiadási előirányzatokon történő felhasználása az intézmény belső szabályzatainak megfelelően történhet), kivéve a nyári üdültetésből származó többletbevétel, mely 20 %-a az önkormányzatot illeti meg,</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meghatározott feladatokra államháztartáson kívülről és belülről átvett pénzeszközökből,</w:t>
      </w:r>
    </w:p>
    <w:p>
      <w:pPr>
        <w:pStyle w:val="TextBody"/>
        <w:bidi w:val="0"/>
        <w:spacing w:lineRule="auto" w:line="240" w:before="0" w:after="0"/>
        <w:ind w:left="580" w:hanging="560"/>
        <w:jc w:val="both"/>
        <w:rPr>
          <w:rFonts w:ascii="Times New Roman" w:hAnsi="Times New Roman"/>
          <w:sz w:val="24"/>
          <w:szCs w:val="24"/>
        </w:rPr>
      </w:pPr>
      <w:r>
        <w:rPr>
          <w:i/>
          <w:iCs/>
          <w:sz w:val="24"/>
          <w:szCs w:val="24"/>
        </w:rPr>
        <w:t>c)</w:t>
      </w:r>
      <w:r>
        <w:rPr>
          <w:sz w:val="24"/>
          <w:szCs w:val="24"/>
        </w:rPr>
        <w:tab/>
        <w:t>pénzmaradványából.</w:t>
      </w:r>
    </w:p>
    <w:p>
      <w:pPr>
        <w:pStyle w:val="TextBody"/>
        <w:bidi w:val="0"/>
        <w:spacing w:lineRule="auto" w:line="240" w:before="240" w:after="0"/>
        <w:ind w:left="0" w:hanging="0"/>
        <w:jc w:val="both"/>
        <w:rPr>
          <w:rFonts w:ascii="Times New Roman" w:hAnsi="Times New Roman"/>
          <w:sz w:val="24"/>
          <w:szCs w:val="24"/>
        </w:rPr>
      </w:pPr>
      <w:r>
        <w:rPr>
          <w:sz w:val="24"/>
          <w:szCs w:val="24"/>
        </w:rPr>
        <w:t>(2) Az intézmény vezetője az (1) bekezdés szerinti hatáskörében eljárva tartós, a költségvetési évet meghaladó időtartamú kötelezettséget csak a képviselő-testület hozzájárulásával vállalhat.</w:t>
      </w:r>
    </w:p>
    <w:p>
      <w:pPr>
        <w:pStyle w:val="TextBody"/>
        <w:bidi w:val="0"/>
        <w:spacing w:lineRule="auto" w:line="240" w:before="240" w:after="0"/>
        <w:ind w:left="0" w:hanging="0"/>
        <w:jc w:val="both"/>
        <w:rPr>
          <w:rFonts w:ascii="Times New Roman" w:hAnsi="Times New Roman"/>
          <w:sz w:val="24"/>
          <w:szCs w:val="24"/>
        </w:rPr>
      </w:pPr>
      <w:r>
        <w:rPr>
          <w:sz w:val="24"/>
          <w:szCs w:val="24"/>
        </w:rPr>
        <w:t>(3) Az intézmény vezetője saját hatáskörében eljárva az intézményi költségvetés kiadási (bevételi) kiemelt előirányzatain belül az egyes részelőirányzatok között előirányzat változtatásokat hajthat végre, kivéve e § (8) bekezdés előirányzatait, melyek más célra nem használhatóak fel, nem csoportosíthatóak át.</w:t>
      </w:r>
    </w:p>
    <w:p>
      <w:pPr>
        <w:pStyle w:val="TextBody"/>
        <w:bidi w:val="0"/>
        <w:spacing w:lineRule="auto" w:line="240" w:before="240" w:after="0"/>
        <w:ind w:left="0" w:hanging="0"/>
        <w:jc w:val="both"/>
        <w:rPr>
          <w:rFonts w:ascii="Times New Roman" w:hAnsi="Times New Roman"/>
          <w:sz w:val="24"/>
          <w:szCs w:val="24"/>
        </w:rPr>
      </w:pPr>
      <w:r>
        <w:rPr>
          <w:sz w:val="24"/>
          <w:szCs w:val="24"/>
        </w:rPr>
        <w:t>(4) Az intézmény saját hatáskörében eljárva az intézményi költségvetésben jóváhagyott éves személyi juttatások és az azzal összefüggő szociális hozzájárulási adó előirányzatát a 4. § (2) bekezdés e) pontjában foglalt jogszabály 42. §-ában előírtak szerint módosíthatja.</w:t>
      </w:r>
    </w:p>
    <w:p>
      <w:pPr>
        <w:pStyle w:val="TextBody"/>
        <w:bidi w:val="0"/>
        <w:spacing w:lineRule="auto" w:line="240" w:before="240" w:after="0"/>
        <w:ind w:left="0" w:hanging="0"/>
        <w:jc w:val="both"/>
        <w:rPr>
          <w:rFonts w:ascii="Times New Roman" w:hAnsi="Times New Roman"/>
          <w:sz w:val="24"/>
          <w:szCs w:val="24"/>
        </w:rPr>
      </w:pPr>
      <w:r>
        <w:rPr>
          <w:sz w:val="24"/>
          <w:szCs w:val="24"/>
        </w:rPr>
        <w:t>(5) Az intézmény az (1) – (4) bekezdések szerinti saját hatáskörében végrehajtott előirányzat-változtatásáról a jegyzőt tárgyév június 30-ig, augusztus 31-ig, október 31-ig, illetve a következő év január 15-ig írásban tájékoztatja.</w:t>
      </w:r>
    </w:p>
    <w:p>
      <w:pPr>
        <w:pStyle w:val="TextBody"/>
        <w:bidi w:val="0"/>
        <w:spacing w:lineRule="auto" w:line="240" w:before="240" w:after="0"/>
        <w:ind w:left="0" w:hanging="0"/>
        <w:jc w:val="both"/>
        <w:rPr>
          <w:rFonts w:ascii="Times New Roman" w:hAnsi="Times New Roman"/>
          <w:sz w:val="24"/>
          <w:szCs w:val="24"/>
        </w:rPr>
      </w:pPr>
      <w:r>
        <w:rPr>
          <w:sz w:val="24"/>
          <w:szCs w:val="24"/>
        </w:rPr>
        <w:t>(6) Ha év közben az Országgyűlés, a Kormány illetve valamely költségvetési fejezet vagy elkülönített állami pénzalap az önkormányzat számára pótelőirányzatot biztosít, arról a polgármester a képviselő-testületet a következő ülésen tájékoztatja.</w:t>
      </w:r>
    </w:p>
    <w:p>
      <w:pPr>
        <w:pStyle w:val="TextBody"/>
        <w:bidi w:val="0"/>
        <w:spacing w:lineRule="auto" w:line="240" w:before="240" w:after="0"/>
        <w:ind w:left="0" w:hanging="0"/>
        <w:jc w:val="both"/>
        <w:rPr>
          <w:rFonts w:ascii="Times New Roman" w:hAnsi="Times New Roman"/>
          <w:sz w:val="24"/>
          <w:szCs w:val="24"/>
        </w:rPr>
      </w:pPr>
      <w:r>
        <w:rPr>
          <w:sz w:val="24"/>
          <w:szCs w:val="24"/>
        </w:rPr>
        <w:t>(7) Az intézmény által az (1)–(4) bekezdés szerint végrehajtott előirányzat módosításokról a jegyző előkészítésében - a polgármester előterjesztése alapján - a képviselő-testület szeptember 30-ai, november 30-ai, valamint december 31-ei hatállyal módosítja az éves költségvetési rendeletét.</w:t>
      </w:r>
    </w:p>
    <w:p>
      <w:pPr>
        <w:pStyle w:val="TextBody"/>
        <w:bidi w:val="0"/>
        <w:spacing w:lineRule="auto" w:line="240" w:before="240" w:after="0"/>
        <w:ind w:left="0" w:hanging="0"/>
        <w:jc w:val="both"/>
        <w:rPr>
          <w:rFonts w:ascii="Times New Roman" w:hAnsi="Times New Roman"/>
          <w:sz w:val="24"/>
          <w:szCs w:val="24"/>
        </w:rPr>
      </w:pPr>
      <w:r>
        <w:rPr>
          <w:sz w:val="24"/>
          <w:szCs w:val="24"/>
        </w:rPr>
        <w:t>(8) Az önállóan gazdálkodó intézmények pénzmaradványát a polgármesteri hivatal felülvizsgálja, melyet a képviselő-testület a zárszámadás keretében hagy jóvá. A pénzmaradványból a költségvetési szervet nem illetik meg:</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végleges feladatelmaradás miatti összegek,</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meghatározott célokra rendelkezésre bocsátott – áthúzódó, pénzügyi teljesítés nélküli – összegek,</w:t>
      </w:r>
    </w:p>
    <w:p>
      <w:pPr>
        <w:pStyle w:val="TextBody"/>
        <w:bidi w:val="0"/>
        <w:spacing w:lineRule="auto" w:line="240" w:before="0" w:after="0"/>
        <w:ind w:left="580" w:hanging="560"/>
        <w:jc w:val="both"/>
        <w:rPr>
          <w:rFonts w:ascii="Times New Roman" w:hAnsi="Times New Roman"/>
          <w:sz w:val="24"/>
          <w:szCs w:val="24"/>
        </w:rPr>
      </w:pPr>
      <w:r>
        <w:rPr>
          <w:i/>
          <w:iCs/>
          <w:sz w:val="24"/>
          <w:szCs w:val="24"/>
        </w:rPr>
        <w:t>c)</w:t>
      </w:r>
      <w:r>
        <w:rPr>
          <w:sz w:val="24"/>
          <w:szCs w:val="24"/>
        </w:rPr>
        <w:tab/>
        <w:t>a tervezett beruházási-fejlesztési és felújítási kiadások maradványa,</w:t>
      </w:r>
    </w:p>
    <w:p>
      <w:pPr>
        <w:pStyle w:val="TextBody"/>
        <w:bidi w:val="0"/>
        <w:spacing w:lineRule="auto" w:line="240" w:before="0" w:after="0"/>
        <w:ind w:left="580" w:hanging="560"/>
        <w:jc w:val="both"/>
        <w:rPr>
          <w:rFonts w:ascii="Times New Roman" w:hAnsi="Times New Roman"/>
          <w:sz w:val="24"/>
          <w:szCs w:val="24"/>
        </w:rPr>
      </w:pPr>
      <w:r>
        <w:rPr>
          <w:i/>
          <w:iCs/>
          <w:sz w:val="24"/>
          <w:szCs w:val="24"/>
        </w:rPr>
        <w:t>d)</w:t>
      </w:r>
      <w:r>
        <w:rPr>
          <w:sz w:val="24"/>
          <w:szCs w:val="24"/>
        </w:rPr>
        <w:tab/>
        <w:t>személyi juttatások alábbi rovatainak maradványai:</w:t>
      </w:r>
    </w:p>
    <w:p>
      <w:pPr>
        <w:pStyle w:val="TextBody"/>
        <w:bidi w:val="0"/>
        <w:spacing w:lineRule="auto" w:line="240" w:before="0" w:after="0"/>
        <w:ind w:left="980" w:hanging="400"/>
        <w:jc w:val="both"/>
        <w:rPr>
          <w:rFonts w:ascii="Times New Roman" w:hAnsi="Times New Roman"/>
          <w:sz w:val="24"/>
          <w:szCs w:val="24"/>
        </w:rPr>
      </w:pPr>
      <w:r>
        <w:rPr>
          <w:i/>
          <w:iCs/>
          <w:sz w:val="24"/>
          <w:szCs w:val="24"/>
        </w:rPr>
        <w:t>da)</w:t>
      </w:r>
      <w:r>
        <w:rPr>
          <w:sz w:val="24"/>
          <w:szCs w:val="24"/>
        </w:rPr>
        <w:tab/>
        <w:t>végkielégítés (K1105),</w:t>
      </w:r>
    </w:p>
    <w:p>
      <w:pPr>
        <w:pStyle w:val="TextBody"/>
        <w:bidi w:val="0"/>
        <w:spacing w:lineRule="auto" w:line="240" w:before="0" w:after="0"/>
        <w:ind w:left="980" w:hanging="400"/>
        <w:jc w:val="both"/>
        <w:rPr>
          <w:rFonts w:ascii="Times New Roman" w:hAnsi="Times New Roman"/>
          <w:sz w:val="24"/>
          <w:szCs w:val="24"/>
        </w:rPr>
      </w:pPr>
      <w:r>
        <w:rPr>
          <w:i/>
          <w:iCs/>
          <w:sz w:val="24"/>
          <w:szCs w:val="24"/>
        </w:rPr>
        <w:t>db)</w:t>
      </w:r>
      <w:r>
        <w:rPr>
          <w:sz w:val="24"/>
          <w:szCs w:val="24"/>
        </w:rPr>
        <w:tab/>
        <w:t>jubileumi jutalom (K1106),</w:t>
      </w:r>
    </w:p>
    <w:p>
      <w:pPr>
        <w:pStyle w:val="TextBody"/>
        <w:bidi w:val="0"/>
        <w:spacing w:lineRule="auto" w:line="240" w:before="0" w:after="0"/>
        <w:ind w:left="980" w:hanging="400"/>
        <w:jc w:val="both"/>
        <w:rPr>
          <w:rFonts w:ascii="Times New Roman" w:hAnsi="Times New Roman"/>
          <w:sz w:val="24"/>
          <w:szCs w:val="24"/>
        </w:rPr>
      </w:pPr>
      <w:r>
        <w:rPr>
          <w:i/>
          <w:iCs/>
          <w:sz w:val="24"/>
          <w:szCs w:val="24"/>
        </w:rPr>
        <w:t>dc)</w:t>
      </w:r>
      <w:r>
        <w:rPr>
          <w:sz w:val="24"/>
          <w:szCs w:val="24"/>
        </w:rPr>
        <w:tab/>
        <w:t>béren kívüli juttatások (K1107),</w:t>
      </w:r>
    </w:p>
    <w:p>
      <w:pPr>
        <w:pStyle w:val="TextBody"/>
        <w:bidi w:val="0"/>
        <w:spacing w:lineRule="auto" w:line="240" w:before="0" w:after="0"/>
        <w:ind w:left="980" w:hanging="400"/>
        <w:jc w:val="both"/>
        <w:rPr>
          <w:rFonts w:ascii="Times New Roman" w:hAnsi="Times New Roman"/>
          <w:sz w:val="24"/>
          <w:szCs w:val="24"/>
        </w:rPr>
      </w:pPr>
      <w:r>
        <w:rPr>
          <w:i/>
          <w:iCs/>
          <w:sz w:val="24"/>
          <w:szCs w:val="24"/>
        </w:rPr>
        <w:t>dd)</w:t>
      </w:r>
      <w:r>
        <w:rPr>
          <w:sz w:val="24"/>
          <w:szCs w:val="24"/>
        </w:rPr>
        <w:tab/>
        <w:t>ruházati költségtérítés (K1108),</w:t>
      </w:r>
    </w:p>
    <w:p>
      <w:pPr>
        <w:pStyle w:val="TextBody"/>
        <w:bidi w:val="0"/>
        <w:spacing w:lineRule="auto" w:line="240" w:before="0" w:after="0"/>
        <w:ind w:left="980" w:hanging="400"/>
        <w:jc w:val="both"/>
        <w:rPr>
          <w:rFonts w:ascii="Times New Roman" w:hAnsi="Times New Roman"/>
          <w:sz w:val="24"/>
          <w:szCs w:val="24"/>
        </w:rPr>
      </w:pPr>
      <w:r>
        <w:rPr>
          <w:i/>
          <w:iCs/>
          <w:sz w:val="24"/>
          <w:szCs w:val="24"/>
        </w:rPr>
        <w:t>de)</w:t>
      </w:r>
      <w:r>
        <w:rPr>
          <w:sz w:val="24"/>
          <w:szCs w:val="24"/>
        </w:rPr>
        <w:tab/>
        <w:t>közlekedési költségtérítés (K1109),</w:t>
      </w:r>
    </w:p>
    <w:p>
      <w:pPr>
        <w:pStyle w:val="TextBody"/>
        <w:bidi w:val="0"/>
        <w:spacing w:lineRule="auto" w:line="240" w:before="0" w:after="0"/>
        <w:ind w:left="580" w:hanging="560"/>
        <w:jc w:val="both"/>
        <w:rPr>
          <w:rFonts w:ascii="Times New Roman" w:hAnsi="Times New Roman"/>
          <w:sz w:val="24"/>
          <w:szCs w:val="24"/>
        </w:rPr>
      </w:pPr>
      <w:r>
        <w:rPr>
          <w:i/>
          <w:iCs/>
          <w:sz w:val="24"/>
          <w:szCs w:val="24"/>
        </w:rPr>
        <w:t>e)</w:t>
      </w:r>
      <w:r>
        <w:rPr>
          <w:sz w:val="24"/>
          <w:szCs w:val="24"/>
        </w:rPr>
        <w:tab/>
        <w:t>a munkaadókat terhelő járulékok (egységes rovatrend K2) előirányzat-támogatással fedezett, illetve arányos részének maradványából azon összeg, amely nem kapcsolódik a személyi juttatások előirányzatának járulékköteles maradványához,</w:t>
      </w:r>
    </w:p>
    <w:p>
      <w:pPr>
        <w:pStyle w:val="TextBody"/>
        <w:bidi w:val="0"/>
        <w:spacing w:lineRule="auto" w:line="240" w:before="0" w:after="0"/>
        <w:ind w:left="580" w:hanging="560"/>
        <w:jc w:val="both"/>
        <w:rPr>
          <w:rFonts w:ascii="Times New Roman" w:hAnsi="Times New Roman"/>
          <w:sz w:val="24"/>
          <w:szCs w:val="24"/>
        </w:rPr>
      </w:pPr>
      <w:r>
        <w:rPr>
          <w:i/>
          <w:iCs/>
          <w:sz w:val="24"/>
          <w:szCs w:val="24"/>
        </w:rPr>
        <w:t>f)</w:t>
      </w:r>
      <w:r>
        <w:rPr>
          <w:sz w:val="24"/>
          <w:szCs w:val="24"/>
        </w:rPr>
        <w:tab/>
        <w:t>dologi kiadások alábbi rovatainak maradványai:</w:t>
      </w:r>
    </w:p>
    <w:p>
      <w:pPr>
        <w:pStyle w:val="TextBody"/>
        <w:bidi w:val="0"/>
        <w:spacing w:lineRule="auto" w:line="240" w:before="0" w:after="0"/>
        <w:ind w:left="980" w:hanging="400"/>
        <w:jc w:val="both"/>
        <w:rPr>
          <w:rFonts w:ascii="Times New Roman" w:hAnsi="Times New Roman"/>
          <w:sz w:val="24"/>
          <w:szCs w:val="24"/>
        </w:rPr>
      </w:pPr>
      <w:r>
        <w:rPr>
          <w:i/>
          <w:iCs/>
          <w:sz w:val="24"/>
          <w:szCs w:val="24"/>
        </w:rPr>
        <w:t>fa)</w:t>
      </w:r>
      <w:r>
        <w:rPr>
          <w:sz w:val="24"/>
          <w:szCs w:val="24"/>
        </w:rPr>
        <w:tab/>
        <w:t>élelmiszer, élelmezési nyersanyag (K312),</w:t>
      </w:r>
    </w:p>
    <w:p>
      <w:pPr>
        <w:pStyle w:val="TextBody"/>
        <w:bidi w:val="0"/>
        <w:spacing w:lineRule="auto" w:line="240" w:before="0" w:after="0"/>
        <w:ind w:left="980" w:hanging="400"/>
        <w:jc w:val="both"/>
        <w:rPr>
          <w:rFonts w:ascii="Times New Roman" w:hAnsi="Times New Roman"/>
          <w:sz w:val="24"/>
          <w:szCs w:val="24"/>
        </w:rPr>
      </w:pPr>
      <w:r>
        <w:rPr>
          <w:i/>
          <w:iCs/>
          <w:sz w:val="24"/>
          <w:szCs w:val="24"/>
        </w:rPr>
        <w:t>fb)</w:t>
      </w:r>
      <w:r>
        <w:rPr>
          <w:sz w:val="24"/>
          <w:szCs w:val="24"/>
        </w:rPr>
        <w:tab/>
        <w:t>közüzemi díjak (K331),</w:t>
      </w:r>
    </w:p>
    <w:p>
      <w:pPr>
        <w:pStyle w:val="TextBody"/>
        <w:bidi w:val="0"/>
        <w:spacing w:lineRule="auto" w:line="240" w:before="0" w:after="0"/>
        <w:ind w:left="980" w:hanging="400"/>
        <w:jc w:val="both"/>
        <w:rPr>
          <w:rFonts w:ascii="Times New Roman" w:hAnsi="Times New Roman"/>
          <w:sz w:val="24"/>
          <w:szCs w:val="24"/>
        </w:rPr>
      </w:pPr>
      <w:r>
        <w:rPr>
          <w:i/>
          <w:iCs/>
          <w:sz w:val="24"/>
          <w:szCs w:val="24"/>
        </w:rPr>
        <w:t>fc)</w:t>
      </w:r>
      <w:r>
        <w:rPr>
          <w:sz w:val="24"/>
          <w:szCs w:val="24"/>
        </w:rPr>
        <w:tab/>
        <w:t>vásárolt élelmezés (K332),</w:t>
      </w:r>
    </w:p>
    <w:p>
      <w:pPr>
        <w:pStyle w:val="TextBody"/>
        <w:bidi w:val="0"/>
        <w:spacing w:lineRule="auto" w:line="240" w:before="0" w:after="0"/>
        <w:ind w:left="980" w:hanging="400"/>
        <w:jc w:val="both"/>
        <w:rPr>
          <w:rFonts w:ascii="Times New Roman" w:hAnsi="Times New Roman"/>
          <w:sz w:val="24"/>
          <w:szCs w:val="24"/>
        </w:rPr>
      </w:pPr>
      <w:r>
        <w:rPr>
          <w:i/>
          <w:iCs/>
          <w:sz w:val="24"/>
          <w:szCs w:val="24"/>
        </w:rPr>
        <w:t>fd)</w:t>
      </w:r>
      <w:r>
        <w:rPr>
          <w:sz w:val="24"/>
          <w:szCs w:val="24"/>
        </w:rPr>
        <w:tab/>
        <w:t>előzetesen felszámított áfa (K351) azon része mely nem kapcsolódik a dologi kiadások maradványához,</w:t>
      </w:r>
    </w:p>
    <w:p>
      <w:pPr>
        <w:pStyle w:val="TextBody"/>
        <w:bidi w:val="0"/>
        <w:spacing w:lineRule="auto" w:line="240" w:before="0" w:after="0"/>
        <w:ind w:left="980" w:hanging="400"/>
        <w:jc w:val="both"/>
        <w:rPr>
          <w:rFonts w:ascii="Times New Roman" w:hAnsi="Times New Roman"/>
          <w:sz w:val="24"/>
          <w:szCs w:val="24"/>
        </w:rPr>
      </w:pPr>
      <w:r>
        <w:rPr>
          <w:i/>
          <w:iCs/>
          <w:sz w:val="24"/>
          <w:szCs w:val="24"/>
        </w:rPr>
        <w:t>fe)</w:t>
      </w:r>
      <w:r>
        <w:rPr>
          <w:sz w:val="24"/>
          <w:szCs w:val="24"/>
        </w:rPr>
        <w:tab/>
        <w:t>fizetendő áfa (K352),</w:t>
      </w:r>
    </w:p>
    <w:p>
      <w:pPr>
        <w:pStyle w:val="TextBody"/>
        <w:bidi w:val="0"/>
        <w:spacing w:lineRule="auto" w:line="240" w:before="0" w:after="0"/>
        <w:ind w:left="580" w:hanging="560"/>
        <w:jc w:val="both"/>
        <w:rPr>
          <w:rFonts w:ascii="Times New Roman" w:hAnsi="Times New Roman"/>
          <w:sz w:val="24"/>
          <w:szCs w:val="24"/>
        </w:rPr>
      </w:pPr>
      <w:r>
        <w:rPr>
          <w:i/>
          <w:iCs/>
          <w:sz w:val="24"/>
          <w:szCs w:val="24"/>
        </w:rPr>
        <w:t>g)</w:t>
      </w:r>
      <w:r>
        <w:rPr>
          <w:sz w:val="24"/>
          <w:szCs w:val="24"/>
        </w:rPr>
        <w:tab/>
        <w:t>bevételekhez kapcsolódó összegek:</w:t>
      </w:r>
    </w:p>
    <w:p>
      <w:pPr>
        <w:pStyle w:val="TextBody"/>
        <w:bidi w:val="0"/>
        <w:spacing w:lineRule="auto" w:line="240" w:before="0" w:after="0"/>
        <w:ind w:left="980" w:hanging="400"/>
        <w:jc w:val="both"/>
        <w:rPr>
          <w:rFonts w:ascii="Times New Roman" w:hAnsi="Times New Roman"/>
          <w:sz w:val="24"/>
          <w:szCs w:val="24"/>
        </w:rPr>
      </w:pPr>
      <w:r>
        <w:rPr>
          <w:i/>
          <w:iCs/>
          <w:sz w:val="24"/>
          <w:szCs w:val="24"/>
        </w:rPr>
        <w:t>ga)</w:t>
      </w:r>
      <w:r>
        <w:rPr>
          <w:sz w:val="24"/>
          <w:szCs w:val="24"/>
        </w:rPr>
        <w:tab/>
        <w:t>az élelmezéssel kapcsolatos többletbevétel áfá-val együtt (B402),</w:t>
      </w:r>
    </w:p>
    <w:p>
      <w:pPr>
        <w:pStyle w:val="TextBody"/>
        <w:bidi w:val="0"/>
        <w:spacing w:lineRule="auto" w:line="240" w:before="0" w:after="0"/>
        <w:ind w:left="980" w:hanging="400"/>
        <w:jc w:val="both"/>
        <w:rPr>
          <w:rFonts w:ascii="Times New Roman" w:hAnsi="Times New Roman"/>
          <w:sz w:val="24"/>
          <w:szCs w:val="24"/>
        </w:rPr>
      </w:pPr>
      <w:r>
        <w:rPr>
          <w:i/>
          <w:iCs/>
          <w:sz w:val="24"/>
          <w:szCs w:val="24"/>
        </w:rPr>
        <w:t>gb)</w:t>
      </w:r>
      <w:r>
        <w:rPr>
          <w:sz w:val="24"/>
          <w:szCs w:val="24"/>
        </w:rPr>
        <w:tab/>
        <w:t>ellátási díjak áfá-val együtt (B405),</w:t>
      </w:r>
    </w:p>
    <w:p>
      <w:pPr>
        <w:pStyle w:val="TextBody"/>
        <w:bidi w:val="0"/>
        <w:spacing w:lineRule="auto" w:line="240" w:before="0" w:after="0"/>
        <w:ind w:left="980" w:hanging="400"/>
        <w:jc w:val="both"/>
        <w:rPr>
          <w:rFonts w:ascii="Times New Roman" w:hAnsi="Times New Roman"/>
          <w:sz w:val="24"/>
          <w:szCs w:val="24"/>
        </w:rPr>
      </w:pPr>
      <w:r>
        <w:rPr>
          <w:i/>
          <w:iCs/>
          <w:sz w:val="24"/>
          <w:szCs w:val="24"/>
        </w:rPr>
        <w:t>gc)</w:t>
      </w:r>
      <w:r>
        <w:rPr>
          <w:sz w:val="24"/>
          <w:szCs w:val="24"/>
        </w:rPr>
        <w:tab/>
        <w:t>általános forgalmi adó visszatérülése (B407) azon része, amely nem kapcsolódik a K352 rovathoz.</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7. §</w:t>
      </w:r>
    </w:p>
    <w:p>
      <w:pPr>
        <w:pStyle w:val="TextBody"/>
        <w:bidi w:val="0"/>
        <w:spacing w:lineRule="auto" w:line="240" w:before="0" w:after="0"/>
        <w:ind w:left="0" w:hanging="0"/>
        <w:jc w:val="both"/>
        <w:rPr>
          <w:rFonts w:ascii="Times New Roman" w:hAnsi="Times New Roman"/>
          <w:sz w:val="24"/>
          <w:szCs w:val="24"/>
        </w:rPr>
      </w:pPr>
      <w:r>
        <w:rPr>
          <w:sz w:val="24"/>
          <w:szCs w:val="24"/>
        </w:rPr>
        <w:t>(1) A költségvetési szerv éves költségvetését – a képviselő-testület által megállapított keretszámokon belül – úgy köteles összeállítani és végrehajtani, hogy az fedezze előre tervezhető működési kiadásait (bér- és dologi előirányzatok).</w:t>
      </w:r>
    </w:p>
    <w:p>
      <w:pPr>
        <w:pStyle w:val="TextBody"/>
        <w:bidi w:val="0"/>
        <w:spacing w:lineRule="auto" w:line="240" w:before="240" w:after="0"/>
        <w:ind w:left="0" w:hanging="0"/>
        <w:jc w:val="both"/>
        <w:rPr>
          <w:rFonts w:ascii="Times New Roman" w:hAnsi="Times New Roman"/>
          <w:sz w:val="24"/>
          <w:szCs w:val="24"/>
        </w:rPr>
      </w:pPr>
      <w:r>
        <w:rPr>
          <w:sz w:val="24"/>
          <w:szCs w:val="24"/>
        </w:rPr>
        <w:t>(2) Előre nem tervezhető rendkívüli kiadás felmerülésekor elsősorban a következőket köteles megvizsgálni:</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a rendkívüli kiadás (tételenként) eléri-e az intézmény eredeti költségvetésében jóváhagyott kiemelt előirányzat 0,5 %-át. Ennél kisebb mértékű kiadás-növekedést az intézménynek saját hatáskörében kell kigazdálkodnia,</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a rendkívüli kiadás fedezhető-e a vagyonbiztosítás révén, avagy a számára biztosított karbantartási keretösszegből,</w:t>
      </w:r>
    </w:p>
    <w:p>
      <w:pPr>
        <w:pStyle w:val="TextBody"/>
        <w:bidi w:val="0"/>
        <w:spacing w:lineRule="auto" w:line="240" w:before="0" w:after="0"/>
        <w:ind w:left="580" w:hanging="560"/>
        <w:jc w:val="both"/>
        <w:rPr>
          <w:rFonts w:ascii="Times New Roman" w:hAnsi="Times New Roman"/>
          <w:sz w:val="24"/>
          <w:szCs w:val="24"/>
        </w:rPr>
      </w:pPr>
      <w:r>
        <w:rPr>
          <w:i/>
          <w:iCs/>
          <w:sz w:val="24"/>
          <w:szCs w:val="24"/>
        </w:rPr>
        <w:t>c)</w:t>
      </w:r>
      <w:r>
        <w:rPr>
          <w:sz w:val="24"/>
          <w:szCs w:val="24"/>
        </w:rPr>
        <w:tab/>
        <w:t>amennyiben az a) pont szerinti fedezetbiztosítás nem lehetséges, a forrás megteremthető-e saját bevételi többletének szabad felhasználású részéből,</w:t>
      </w:r>
    </w:p>
    <w:p>
      <w:pPr>
        <w:pStyle w:val="TextBody"/>
        <w:bidi w:val="0"/>
        <w:spacing w:lineRule="auto" w:line="240" w:before="0" w:after="0"/>
        <w:ind w:left="580" w:hanging="560"/>
        <w:jc w:val="both"/>
        <w:rPr>
          <w:rFonts w:ascii="Times New Roman" w:hAnsi="Times New Roman"/>
          <w:sz w:val="24"/>
          <w:szCs w:val="24"/>
        </w:rPr>
      </w:pPr>
      <w:r>
        <w:rPr>
          <w:i/>
          <w:iCs/>
          <w:sz w:val="24"/>
          <w:szCs w:val="24"/>
        </w:rPr>
        <w:t>d)</w:t>
      </w:r>
      <w:r>
        <w:rPr>
          <w:sz w:val="24"/>
          <w:szCs w:val="24"/>
        </w:rPr>
        <w:tab/>
        <w:t>a rendkívüli kiadás fedezhető-e a 4. §. (17) bekezdése szerinti járulék-maradvány összegéből.</w:t>
      </w:r>
    </w:p>
    <w:p>
      <w:pPr>
        <w:pStyle w:val="TextBody"/>
        <w:bidi w:val="0"/>
        <w:spacing w:lineRule="auto" w:line="240" w:before="240" w:after="0"/>
        <w:ind w:left="0" w:hanging="0"/>
        <w:jc w:val="both"/>
        <w:rPr>
          <w:rFonts w:ascii="Times New Roman" w:hAnsi="Times New Roman"/>
          <w:sz w:val="24"/>
          <w:szCs w:val="24"/>
        </w:rPr>
      </w:pPr>
      <w:r>
        <w:rPr>
          <w:sz w:val="24"/>
          <w:szCs w:val="24"/>
        </w:rPr>
        <w:t>(3) A (2) bekezdés szerinti fedezetbiztosítás lehetetlensége esetén az intézmény – ennek tényéről a szerv vezetője írásos nyilatkozatát megtéve – írásbeli pótelőirányzati kérelmet nyújthat be a polgármesteri hivatal illetékes főosztályára.</w:t>
      </w:r>
    </w:p>
    <w:p>
      <w:pPr>
        <w:pStyle w:val="TextBody"/>
        <w:bidi w:val="0"/>
        <w:spacing w:lineRule="auto" w:line="240" w:before="240" w:after="0"/>
        <w:ind w:left="0" w:hanging="0"/>
        <w:jc w:val="both"/>
        <w:rPr>
          <w:rFonts w:ascii="Times New Roman" w:hAnsi="Times New Roman"/>
          <w:sz w:val="24"/>
          <w:szCs w:val="24"/>
        </w:rPr>
      </w:pPr>
      <w:r>
        <w:rPr>
          <w:sz w:val="24"/>
          <w:szCs w:val="24"/>
        </w:rPr>
        <w:t>(4) A polgármesteri hivatal illetékes főosztályai</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személyi juttatás és szakmai dologi kiadási előirányzati kérelem esetében a fenntartói felügyeletben közreműködő Igazgatási, Szociális és Szervezési Főosztály vagy Polgármesteri Kabinet,</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egyéb dologi jellegű és felhalmozási, felújítási jellegű előirányzattal kapcsolatos kérelemnél a Gazdasági és Városfejlesztési Főosztály.</w:t>
      </w:r>
    </w:p>
    <w:p>
      <w:pPr>
        <w:pStyle w:val="TextBody"/>
        <w:bidi w:val="0"/>
        <w:spacing w:lineRule="auto" w:line="240" w:before="0" w:after="0"/>
        <w:ind w:left="0" w:hanging="0"/>
        <w:jc w:val="both"/>
        <w:rPr>
          <w:rFonts w:ascii="Times New Roman" w:hAnsi="Times New Roman"/>
          <w:sz w:val="24"/>
          <w:szCs w:val="24"/>
        </w:rPr>
      </w:pPr>
      <w:r>
        <w:rPr>
          <w:sz w:val="24"/>
          <w:szCs w:val="24"/>
        </w:rPr>
        <w:t>Fenti főosztályok feladata a kérelem szakmai megalapozottságának felülvizsgálata és a Pénzügyi Osztálynak történő átadása, írásos javaslattétellel, 15 napon belül. E határidőbe nem számít be a főosztályok által szükségesnek ítélt további információ kérelmezőtől történő beszerzésének dokumentált időtartama.</w:t>
      </w:r>
    </w:p>
    <w:p>
      <w:pPr>
        <w:pStyle w:val="TextBody"/>
        <w:bidi w:val="0"/>
        <w:spacing w:lineRule="auto" w:line="240" w:before="240" w:after="0"/>
        <w:ind w:left="0" w:hanging="0"/>
        <w:jc w:val="both"/>
        <w:rPr>
          <w:rFonts w:ascii="Times New Roman" w:hAnsi="Times New Roman"/>
          <w:sz w:val="24"/>
          <w:szCs w:val="24"/>
        </w:rPr>
      </w:pPr>
      <w:r>
        <w:rPr>
          <w:sz w:val="24"/>
          <w:szCs w:val="24"/>
        </w:rPr>
        <w:t>(5) A Polgármesteri Hivatal Pénzügyi Osztálya az illetékes főosztály által hozzá továbbított, szakmai javaslattal ellátott kérelmet legkésőbb november 30-ig megvizsgálja és véleményezi a következőkre vonatkozóan:</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a kérelem tárgya előre tervezhető volt-e a költségvetésben, vagy nem, tehát rendkívüli kiadásnak minősül-e,</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rendkívüli kiadásnak minősítés esetén fedezhető volt-e vagyonbiztosításból, vagy kérelmező költségvetési karbantartási keretéből, illetve megítélése szerint a forrás megteremthető volt-e az év folyamán a szerv bevételi többletéből.</w:t>
      </w:r>
    </w:p>
    <w:p>
      <w:pPr>
        <w:pStyle w:val="TextBody"/>
        <w:bidi w:val="0"/>
        <w:spacing w:lineRule="auto" w:line="240" w:before="240" w:after="0"/>
        <w:ind w:left="0" w:hanging="0"/>
        <w:jc w:val="both"/>
        <w:rPr>
          <w:rFonts w:ascii="Times New Roman" w:hAnsi="Times New Roman"/>
          <w:sz w:val="24"/>
          <w:szCs w:val="24"/>
        </w:rPr>
      </w:pPr>
      <w:r>
        <w:rPr>
          <w:sz w:val="24"/>
          <w:szCs w:val="24"/>
        </w:rPr>
        <w:t>(6) A szakmai főosztály a Pénzügyi Osztály véleményével ellátott kérelmet a szerv fenntartói-tulajdonosi irányításában, felügyeletében közreműködő bizottság következő ülésén előterjeszti. Dologi, valamint a felhalmozási pótelőirányzat kérést a Városfejlesztési és Műszaki Bizottságnak is véleményeznie kell következő ülésén. A kérelem véleményezésében illetékes bizottság(ok) általi megtárgyalás után a szakmai főosztály a Pénzügyi és Gazdasági Bizottság véleményének figyelembevételével a képviselő-testület elé terjeszti.</w:t>
      </w:r>
    </w:p>
    <w:p>
      <w:pPr>
        <w:pStyle w:val="TextBody"/>
        <w:bidi w:val="0"/>
        <w:spacing w:lineRule="auto" w:line="240" w:before="240" w:after="0"/>
        <w:ind w:left="0" w:hanging="0"/>
        <w:jc w:val="both"/>
        <w:rPr>
          <w:rFonts w:ascii="Times New Roman" w:hAnsi="Times New Roman"/>
          <w:sz w:val="24"/>
          <w:szCs w:val="24"/>
        </w:rPr>
      </w:pPr>
      <w:r>
        <w:rPr>
          <w:sz w:val="24"/>
          <w:szCs w:val="24"/>
        </w:rPr>
        <w:t>(7) A polgármesteri hivatal pótelőirányzati kérelmét a jegyző – a pénzügyi osztály (5) bekezdés szerinti véleményezése után – közvetlenül a Pénzügyi és Gazdasági Bizottságnak nyújthatja be, aki a javaslatával együtt döntésre a képviselő-testület elé terjeszti.</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8. §</w:t>
      </w:r>
    </w:p>
    <w:p>
      <w:pPr>
        <w:pStyle w:val="TextBody"/>
        <w:bidi w:val="0"/>
        <w:spacing w:lineRule="auto" w:line="240" w:before="0" w:after="0"/>
        <w:ind w:left="0" w:hanging="0"/>
        <w:jc w:val="both"/>
        <w:rPr>
          <w:rFonts w:ascii="Times New Roman" w:hAnsi="Times New Roman"/>
          <w:sz w:val="24"/>
          <w:szCs w:val="24"/>
        </w:rPr>
      </w:pPr>
      <w:r>
        <w:rPr>
          <w:sz w:val="24"/>
          <w:szCs w:val="24"/>
        </w:rPr>
        <w:t>Az intézményi kollektív szerződések (közalkalmazotti szabályzatok) anyagi többletteherrel járó megkötésére, módosítására csak a fenntartó ellenjegyzését követően kerülhet sor.</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9. §</w:t>
      </w:r>
    </w:p>
    <w:p>
      <w:pPr>
        <w:pStyle w:val="TextBody"/>
        <w:bidi w:val="0"/>
        <w:spacing w:lineRule="auto" w:line="240" w:before="0" w:after="0"/>
        <w:ind w:left="0" w:hanging="0"/>
        <w:jc w:val="both"/>
        <w:rPr>
          <w:rFonts w:ascii="Times New Roman" w:hAnsi="Times New Roman"/>
          <w:sz w:val="24"/>
          <w:szCs w:val="24"/>
        </w:rPr>
      </w:pPr>
      <w:r>
        <w:rPr>
          <w:sz w:val="24"/>
          <w:szCs w:val="24"/>
        </w:rPr>
        <w:t>(1) Az önálló létszám és bérgazdálkodási jogkörrel rendelkező intézmény vezetője - e jogkörében eljárva - a feladatváltozás miatt megüresedett álláshelyeket nem töltheti be, a kapcsolódóan jelentkező megtakarításokat nem használhatja fel.</w:t>
      </w:r>
    </w:p>
    <w:p>
      <w:pPr>
        <w:pStyle w:val="TextBody"/>
        <w:bidi w:val="0"/>
        <w:spacing w:lineRule="auto" w:line="240" w:before="240" w:after="0"/>
        <w:ind w:left="0" w:hanging="0"/>
        <w:jc w:val="both"/>
        <w:rPr>
          <w:rFonts w:ascii="Times New Roman" w:hAnsi="Times New Roman"/>
          <w:sz w:val="24"/>
          <w:szCs w:val="24"/>
        </w:rPr>
      </w:pPr>
      <w:r>
        <w:rPr>
          <w:sz w:val="24"/>
          <w:szCs w:val="24"/>
        </w:rPr>
        <w:t>(2) Az intézmény minden negyedév végén a következő hó 10-ig tájékoztatni köteles a fenntartót:</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a negyedév utolsó napján fennálló, 15 napot meghaladó lejárt tartozás-állományáról,</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személyi juttatás előirányzatának felhasználásáról.</w:t>
      </w:r>
    </w:p>
    <w:p>
      <w:pPr>
        <w:pStyle w:val="TextBody"/>
        <w:bidi w:val="0"/>
        <w:spacing w:lineRule="auto" w:line="240" w:before="240" w:after="0"/>
        <w:ind w:left="0" w:hanging="0"/>
        <w:jc w:val="both"/>
        <w:rPr>
          <w:rFonts w:ascii="Times New Roman" w:hAnsi="Times New Roman"/>
          <w:sz w:val="24"/>
          <w:szCs w:val="24"/>
        </w:rPr>
      </w:pPr>
      <w:r>
        <w:rPr>
          <w:sz w:val="24"/>
          <w:szCs w:val="24"/>
        </w:rPr>
        <w:t>(3) Amennyiben az intézmény a (2) bekezdés a) pontja szerinti tartozásállománya meghaladja az intézmény éves eredeti költségvetési előirányzatának 10 %-át, a fenntartó az intézményhez önkormányzati biztost rendel ki. Az önkormányzati biztos jelölésére, tevékenységére külön jogszabály előírásai irányadóak.</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10. §</w:t>
      </w:r>
    </w:p>
    <w:p>
      <w:pPr>
        <w:pStyle w:val="TextBody"/>
        <w:bidi w:val="0"/>
        <w:spacing w:lineRule="auto" w:line="240" w:before="0" w:after="0"/>
        <w:ind w:left="0" w:hanging="0"/>
        <w:jc w:val="both"/>
        <w:rPr>
          <w:rFonts w:ascii="Times New Roman" w:hAnsi="Times New Roman"/>
          <w:sz w:val="24"/>
          <w:szCs w:val="24"/>
        </w:rPr>
      </w:pPr>
      <w:r>
        <w:rPr>
          <w:sz w:val="24"/>
          <w:szCs w:val="24"/>
        </w:rPr>
        <w:t>A célszerű és takarékos gazdálkodás érdekében az intézmények önkormányzati támogatásának rendelkezésre bocsátására a tényleges szükséglet alapján kerül sor.</w:t>
      </w:r>
    </w:p>
    <w:p>
      <w:pPr>
        <w:pStyle w:val="TextBody"/>
        <w:bidi w:val="0"/>
        <w:spacing w:lineRule="auto" w:line="240" w:before="280" w:after="0"/>
        <w:ind w:left="0" w:hanging="0"/>
        <w:jc w:val="center"/>
        <w:rPr>
          <w:rFonts w:ascii="Times New Roman" w:hAnsi="Times New Roman"/>
          <w:b/>
          <w:b/>
          <w:bCs/>
          <w:sz w:val="24"/>
          <w:szCs w:val="24"/>
        </w:rPr>
      </w:pPr>
      <w:r>
        <w:rPr>
          <w:b/>
          <w:bCs/>
          <w:sz w:val="24"/>
          <w:szCs w:val="24"/>
        </w:rPr>
        <w:t>5. Vegyes rendelkezések</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11. §</w:t>
      </w:r>
    </w:p>
    <w:p>
      <w:pPr>
        <w:pStyle w:val="TextBody"/>
        <w:bidi w:val="0"/>
        <w:spacing w:lineRule="auto" w:line="240" w:before="0" w:after="0"/>
        <w:ind w:left="0" w:hanging="0"/>
        <w:jc w:val="both"/>
        <w:rPr>
          <w:rFonts w:ascii="Times New Roman" w:hAnsi="Times New Roman"/>
          <w:sz w:val="24"/>
          <w:szCs w:val="24"/>
        </w:rPr>
      </w:pPr>
      <w:r>
        <w:rPr>
          <w:sz w:val="24"/>
          <w:szCs w:val="24"/>
        </w:rPr>
        <w:t>(1) A rendkívüli többletbevételt a tartalék növelésére kell fordítani.</w:t>
      </w:r>
    </w:p>
    <w:p>
      <w:pPr>
        <w:pStyle w:val="TextBody"/>
        <w:bidi w:val="0"/>
        <w:spacing w:lineRule="auto" w:line="240" w:before="240" w:after="0"/>
        <w:ind w:left="0" w:hanging="0"/>
        <w:jc w:val="both"/>
        <w:rPr>
          <w:rFonts w:ascii="Times New Roman" w:hAnsi="Times New Roman"/>
          <w:sz w:val="24"/>
          <w:szCs w:val="24"/>
        </w:rPr>
      </w:pPr>
      <w:r>
        <w:rPr>
          <w:sz w:val="24"/>
          <w:szCs w:val="24"/>
        </w:rPr>
        <w:t>(2) Az év közben felszabaduló előirányzatok a tartalékot növelik.</w:t>
      </w:r>
    </w:p>
    <w:p>
      <w:pPr>
        <w:pStyle w:val="TextBody"/>
        <w:bidi w:val="0"/>
        <w:spacing w:lineRule="auto" w:line="240" w:before="240" w:after="0"/>
        <w:ind w:left="0" w:hanging="0"/>
        <w:jc w:val="both"/>
        <w:rPr>
          <w:rFonts w:ascii="Times New Roman" w:hAnsi="Times New Roman"/>
          <w:sz w:val="24"/>
          <w:szCs w:val="24"/>
        </w:rPr>
      </w:pPr>
      <w:r>
        <w:rPr>
          <w:sz w:val="24"/>
          <w:szCs w:val="24"/>
        </w:rPr>
        <w:t>(3) A képviselő-testület - utólagos tájékoztatási kötelezettség mellett - engedélyezi, hogy a szociálpolitikai feladatellátáshoz kapcsolódó úgynevezett évközi állami visszatérítések összegei a szociálpolitikára tervezett előirányzatot automatikusan emeljék.</w:t>
      </w:r>
    </w:p>
    <w:p>
      <w:pPr>
        <w:pStyle w:val="TextBody"/>
        <w:bidi w:val="0"/>
        <w:spacing w:lineRule="auto" w:line="240" w:before="240" w:after="0"/>
        <w:ind w:left="0" w:hanging="0"/>
        <w:jc w:val="both"/>
        <w:rPr>
          <w:rFonts w:ascii="Times New Roman" w:hAnsi="Times New Roman"/>
          <w:sz w:val="24"/>
          <w:szCs w:val="24"/>
        </w:rPr>
      </w:pPr>
      <w:r>
        <w:rPr>
          <w:sz w:val="24"/>
          <w:szCs w:val="24"/>
        </w:rPr>
        <w:t>(4) A 11. melléklet szerinti működési támogatásokat/átadott pénzeszközöket csak megkötött támogatási szerződés vagy kiadott támogatói okirat megléte esetén lehet kifizetni. A támogatási szerződés vagy támogatói okirat teljesítésének feltétele, hogy a támogatott szervezetnek az önkormányzat felé lejárt tartozása nincs, és amennyiben korábban önkormányzati támogatásban részesült, azzal maradéktalanul elszámolt.</w:t>
      </w:r>
    </w:p>
    <w:p>
      <w:pPr>
        <w:pStyle w:val="TextBody"/>
        <w:bidi w:val="0"/>
        <w:spacing w:lineRule="auto" w:line="240" w:before="240" w:after="0"/>
        <w:ind w:left="0" w:hanging="0"/>
        <w:jc w:val="both"/>
        <w:rPr>
          <w:rFonts w:ascii="Times New Roman" w:hAnsi="Times New Roman"/>
          <w:sz w:val="24"/>
          <w:szCs w:val="24"/>
        </w:rPr>
      </w:pPr>
      <w:r>
        <w:rPr>
          <w:sz w:val="24"/>
          <w:szCs w:val="24"/>
        </w:rPr>
        <w:t>(5) A 11. melléklet 2/M, 3/M, és 4/M és esetében a támogatást havonta, a 14/M és az 1.000 E Ft-ot meg nem haladó egyéb sorok támogatásait egyösszegben, az 1.000 E Ft-ot meghaladó egyéb sorok támogatásait két egyenlő részletben, március 15-e és szeptember 15-e után lehet kifizetni. Rendkívüli esetben támogatási előleget a polgármester engedélyezhet.</w:t>
      </w:r>
    </w:p>
    <w:p>
      <w:pPr>
        <w:pStyle w:val="TextBody"/>
        <w:bidi w:val="0"/>
        <w:spacing w:lineRule="auto" w:line="240" w:before="240" w:after="0"/>
        <w:ind w:left="0" w:hanging="0"/>
        <w:jc w:val="both"/>
        <w:rPr>
          <w:rFonts w:ascii="Times New Roman" w:hAnsi="Times New Roman"/>
          <w:sz w:val="24"/>
          <w:szCs w:val="24"/>
        </w:rPr>
      </w:pPr>
      <w:r>
        <w:rPr>
          <w:sz w:val="24"/>
          <w:szCs w:val="24"/>
        </w:rPr>
        <w:t>(6) A tervezett kiadások közül július 1. után használható fel az önkormányzat, polgármesteri hivatal, az önkormányzat és kistérségi társulás intézményeinél betervezett bruttó kafetéria 50%-a.</w:t>
      </w:r>
    </w:p>
    <w:p>
      <w:pPr>
        <w:pStyle w:val="TextBody"/>
        <w:bidi w:val="0"/>
        <w:spacing w:lineRule="auto" w:line="240" w:before="240" w:after="0"/>
        <w:ind w:left="0" w:hanging="0"/>
        <w:jc w:val="both"/>
        <w:rPr>
          <w:rFonts w:ascii="Times New Roman" w:hAnsi="Times New Roman"/>
          <w:sz w:val="24"/>
          <w:szCs w:val="24"/>
        </w:rPr>
      </w:pPr>
      <w:r>
        <w:rPr>
          <w:sz w:val="24"/>
          <w:szCs w:val="24"/>
        </w:rPr>
        <w:t>(7) A 12. melléklet 4/ÖK sor felhasználása</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éves működési támogatás esetén két egyenlő részletben március 15-e és szeptember 15-e után</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programra adott támogatás esetén a megvalósulás ütemében</w:t>
      </w:r>
    </w:p>
    <w:p>
      <w:pPr>
        <w:pStyle w:val="TextBody"/>
        <w:bidi w:val="0"/>
        <w:spacing w:lineRule="auto" w:line="240" w:before="0" w:after="0"/>
        <w:ind w:left="0" w:hanging="0"/>
        <w:jc w:val="both"/>
        <w:rPr>
          <w:rFonts w:ascii="Times New Roman" w:hAnsi="Times New Roman"/>
          <w:sz w:val="24"/>
          <w:szCs w:val="24"/>
        </w:rPr>
      </w:pPr>
      <w:r>
        <w:rPr>
          <w:sz w:val="24"/>
          <w:szCs w:val="24"/>
        </w:rPr>
        <w:t>történhet.</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12. §</w:t>
      </w:r>
    </w:p>
    <w:p>
      <w:pPr>
        <w:pStyle w:val="TextBody"/>
        <w:bidi w:val="0"/>
        <w:spacing w:lineRule="auto" w:line="240" w:before="0" w:after="0"/>
        <w:ind w:left="0" w:hanging="0"/>
        <w:jc w:val="both"/>
        <w:rPr>
          <w:rFonts w:ascii="Times New Roman" w:hAnsi="Times New Roman"/>
          <w:sz w:val="24"/>
          <w:szCs w:val="24"/>
        </w:rPr>
      </w:pPr>
      <w:r>
        <w:rPr>
          <w:sz w:val="24"/>
          <w:szCs w:val="24"/>
        </w:rPr>
        <w:t>(1) A képviselő-testület a felhasználás jogát átruházza:</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a Polgármesterre a 12. melléklet 6/ÖK, 7/ÖK, 8/ÖK, 17/ÖK sorokban, a 11. melléklet 10/M, 15/M sorokban valamint a 14. melléklet 3/ÖK sorban meghatározott feladatokat,</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a Szociális és Egészségügyi Bizottságra a 12. melléklet 1/ÖK, 2/ÖK, 9/ÖK, 12/ÖK, 13/ÖK, sorokban, valamint a 11. melléklet 2/M, 3/M, 8/M, 9/M, 13/M sorokban meghatározott feladatokat,</w:t>
      </w:r>
    </w:p>
    <w:p>
      <w:pPr>
        <w:pStyle w:val="TextBody"/>
        <w:bidi w:val="0"/>
        <w:spacing w:lineRule="auto" w:line="240" w:before="0" w:after="0"/>
        <w:ind w:left="0" w:hanging="0"/>
        <w:jc w:val="both"/>
        <w:rPr>
          <w:rFonts w:ascii="Times New Roman" w:hAnsi="Times New Roman"/>
          <w:sz w:val="24"/>
          <w:szCs w:val="24"/>
        </w:rPr>
      </w:pPr>
      <w:r>
        <w:rPr>
          <w:sz w:val="24"/>
          <w:szCs w:val="24"/>
        </w:rPr>
        <w:t>c.) a Kulturális, Nevelési és Sport Bizottságra a 12. melléklet 16/ÖK sorban meghatározott feladatot.</w:t>
      </w:r>
    </w:p>
    <w:p>
      <w:pPr>
        <w:pStyle w:val="TextBody"/>
        <w:bidi w:val="0"/>
        <w:spacing w:lineRule="auto" w:line="240" w:before="240" w:after="0"/>
        <w:ind w:left="0" w:hanging="0"/>
        <w:jc w:val="both"/>
        <w:rPr>
          <w:rFonts w:ascii="Times New Roman" w:hAnsi="Times New Roman"/>
          <w:sz w:val="24"/>
          <w:szCs w:val="24"/>
        </w:rPr>
      </w:pPr>
      <w:r>
        <w:rPr>
          <w:sz w:val="24"/>
          <w:szCs w:val="24"/>
        </w:rPr>
        <w:t>(2) A képviselő-testület az alábbi költségvetési tételek felhasználásának döntéséhez az alábbi bizottságok javaslatait kéri</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Kulturális, Nevelési és Sport Bizottságtól a 12. mellékletben szereplő 3/ÖK, 4/ÖK, 4a/ÖK valamint a 11. melléklet 11/M sorokban meghatározott feladatok,</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Turisztikai és Nemzetközi Kapcsolatokért Felelős Bizottságtól a 12. melléklet 4/ÖK, 5/ÖK és a 11. melléklet 14/M sorokban meghatározott feladatok,</w:t>
      </w:r>
    </w:p>
    <w:p>
      <w:pPr>
        <w:pStyle w:val="TextBody"/>
        <w:bidi w:val="0"/>
        <w:spacing w:lineRule="auto" w:line="240" w:before="0" w:after="0"/>
        <w:ind w:left="580" w:hanging="560"/>
        <w:jc w:val="both"/>
        <w:rPr>
          <w:rFonts w:ascii="Times New Roman" w:hAnsi="Times New Roman"/>
          <w:sz w:val="24"/>
          <w:szCs w:val="24"/>
        </w:rPr>
      </w:pPr>
      <w:r>
        <w:rPr>
          <w:i/>
          <w:iCs/>
          <w:sz w:val="24"/>
          <w:szCs w:val="24"/>
        </w:rPr>
        <w:t>c)</w:t>
      </w:r>
      <w:r>
        <w:rPr>
          <w:sz w:val="24"/>
          <w:szCs w:val="24"/>
        </w:rPr>
        <w:tab/>
        <w:t>Városfejlesztési és Műszaki Bizottságtól a 11. melléklet 2/F, 3/F és 4/F sorokban meghatározott feladatok</w:t>
      </w:r>
    </w:p>
    <w:p>
      <w:pPr>
        <w:pStyle w:val="TextBody"/>
        <w:bidi w:val="0"/>
        <w:spacing w:lineRule="auto" w:line="240" w:before="0" w:after="0"/>
        <w:ind w:left="0" w:hanging="0"/>
        <w:jc w:val="both"/>
        <w:rPr>
          <w:rFonts w:ascii="Times New Roman" w:hAnsi="Times New Roman"/>
          <w:sz w:val="24"/>
          <w:szCs w:val="24"/>
        </w:rPr>
      </w:pPr>
      <w:r>
        <w:rPr>
          <w:sz w:val="24"/>
          <w:szCs w:val="24"/>
        </w:rPr>
        <w:t>vonatkozásában.</w:t>
      </w:r>
    </w:p>
    <w:p>
      <w:pPr>
        <w:pStyle w:val="TextBody"/>
        <w:bidi w:val="0"/>
        <w:spacing w:lineRule="auto" w:line="240" w:before="240" w:after="0"/>
        <w:ind w:left="0" w:hanging="0"/>
        <w:jc w:val="both"/>
        <w:rPr>
          <w:rFonts w:ascii="Times New Roman" w:hAnsi="Times New Roman"/>
          <w:sz w:val="24"/>
          <w:szCs w:val="24"/>
        </w:rPr>
      </w:pPr>
      <w:r>
        <w:rPr>
          <w:sz w:val="24"/>
          <w:szCs w:val="24"/>
        </w:rPr>
        <w:t>(3) A 10. melléklet 8/ÖK sorában szereplő rászoruló gyerekek szünidei étkeztetés feladatot Egészségügyi és Szociális Osztály szakmai iránymutatása alapján a Hajdúszoboszlói Gazdasági Szolgáltató Intézmény látja el.</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13. §</w:t>
      </w:r>
    </w:p>
    <w:p>
      <w:pPr>
        <w:pStyle w:val="TextBody"/>
        <w:bidi w:val="0"/>
        <w:spacing w:lineRule="auto" w:line="240" w:before="0" w:after="0"/>
        <w:ind w:left="0" w:hanging="0"/>
        <w:jc w:val="both"/>
        <w:rPr>
          <w:rFonts w:ascii="Times New Roman" w:hAnsi="Times New Roman"/>
          <w:sz w:val="24"/>
          <w:szCs w:val="24"/>
        </w:rPr>
      </w:pPr>
      <w:r>
        <w:rPr>
          <w:sz w:val="24"/>
          <w:szCs w:val="24"/>
        </w:rPr>
        <w:t>(1) Államháztartáson kívülre nyílt pályázati eljárással adható támogatás a rendeletben meghatározott célokra.</w:t>
      </w:r>
    </w:p>
    <w:p>
      <w:pPr>
        <w:pStyle w:val="TextBody"/>
        <w:bidi w:val="0"/>
        <w:spacing w:lineRule="auto" w:line="240" w:before="240" w:after="0"/>
        <w:ind w:left="0" w:hanging="0"/>
        <w:jc w:val="both"/>
        <w:rPr>
          <w:rFonts w:ascii="Times New Roman" w:hAnsi="Times New Roman"/>
          <w:sz w:val="24"/>
          <w:szCs w:val="24"/>
        </w:rPr>
      </w:pPr>
      <w:r>
        <w:rPr>
          <w:sz w:val="24"/>
          <w:szCs w:val="24"/>
        </w:rPr>
        <w:t>(2) Az illetékes bizottságok a pályázati kiírás szövegét, az elbírálás szempontrendszerét e rendelkezések alapján határozzák meg, támogatást csak ezen feltételeknek megfelelő pályázatra adható. A támogatást igénylők kötelesek a pályázatukhoz csatolni tevékenységük/működésük részletes bemutatását. A polgármesteri hivatal a döntés-előkészítés során az azonos tartalmú pályázatokról tájékoztatót készít az érintett bizottságok számára. Az illetékes bizottságok javaslatai alapján a képviselő-testület által nyújtott támogatásra vonatkozóan támogatási szerződést kell kötni. A 300 E Ft vagy az alatti összegek esetében támogatói okirat használata is elegendő.</w:t>
      </w:r>
    </w:p>
    <w:p>
      <w:pPr>
        <w:pStyle w:val="TextBody"/>
        <w:bidi w:val="0"/>
        <w:spacing w:lineRule="auto" w:line="240" w:before="240" w:after="0"/>
        <w:ind w:left="0" w:hanging="0"/>
        <w:jc w:val="both"/>
        <w:rPr>
          <w:rFonts w:ascii="Times New Roman" w:hAnsi="Times New Roman"/>
          <w:sz w:val="24"/>
          <w:szCs w:val="24"/>
        </w:rPr>
      </w:pPr>
      <w:r>
        <w:rPr>
          <w:sz w:val="24"/>
          <w:szCs w:val="24"/>
        </w:rPr>
        <w:t>(3) A bizottságok tartalékot képezhetnek az év hátralevő részére, de ez nem haladhatja meg a rendelkezésre álló összeg 30 %-át. A tartalékból csak olyan célra/feladatra adhatnak támogatást, amely igazolhatóan a nyílt pályázati eljárást követően keletkezett és megvalósítása ebben az évben indokolt.</w:t>
      </w:r>
    </w:p>
    <w:p>
      <w:pPr>
        <w:pStyle w:val="TextBody"/>
        <w:bidi w:val="0"/>
        <w:spacing w:lineRule="auto" w:line="240" w:before="240" w:after="0"/>
        <w:ind w:left="0" w:hanging="0"/>
        <w:jc w:val="both"/>
        <w:rPr>
          <w:rFonts w:ascii="Times New Roman" w:hAnsi="Times New Roman"/>
          <w:sz w:val="24"/>
          <w:szCs w:val="24"/>
        </w:rPr>
      </w:pPr>
      <w:r>
        <w:rPr>
          <w:sz w:val="24"/>
          <w:szCs w:val="24"/>
        </w:rPr>
        <w:t>(4) A nyertes pályázók a nyújtott támogatás felhasználásáról a rendezvényt követően 60 napon belül, más esetben legkésőbb a következő év február 15-ig kötelesek részletes szakmai (számlamagyarázó- és alátámasztó dokumentumok) és pénzügyi (számviteli megfelelőség- és a közvetlen döntéshozásban részt vevők tulajdonában lévő gazdasági társaság érdekeltségének vizsgálata) elszámolást benyújtani, amelyek elfogadásáról az illetékes osztályok 30 napon belül döntenek. 300 E Ft felett elnyert támogatási összeg esetén a nyertes pályázó köteles elszámolásában bemutatni a támogatott cél/feladat teljes költségének fedezetét is, kétség esetén a bizottság a dokumentumokat a polgármesteri hivatal szakemberével ellenőriztetheti. Azt a támogatott, amely az elszámolást határidőben nem nyújtja be, vagy benyújtott elszámolását a bizottság nem fogadja el, a képviselő-testület - a támogatás teljes-, vagy részösszegének visszakövetelésén túl - legfeljebb 3 évre kizárható az önkormányzati támogatásokra pályázók köréből.</w:t>
      </w:r>
    </w:p>
    <w:p>
      <w:pPr>
        <w:pStyle w:val="TextBody"/>
        <w:bidi w:val="0"/>
        <w:spacing w:lineRule="auto" w:line="240" w:before="240" w:after="0"/>
        <w:ind w:left="0" w:hanging="0"/>
        <w:jc w:val="both"/>
        <w:rPr>
          <w:rFonts w:ascii="Times New Roman" w:hAnsi="Times New Roman"/>
          <w:sz w:val="24"/>
          <w:szCs w:val="24"/>
        </w:rPr>
      </w:pPr>
      <w:r>
        <w:rPr>
          <w:sz w:val="24"/>
          <w:szCs w:val="24"/>
        </w:rPr>
        <w:t>(5) A polgármester által a jelen rendelet 12. §-ában szereplő „külön kiadások” előirányzatból nyújtott támogatások esetén írásban kell benyújtani a kérelmet, melyről a polgármester dönt. A támogatások elszámolására vonatkozó szabályok ezen támogatási forma esetén is érvényesek, ahol a bizottság alatt a polgármestert kell érteni.</w:t>
      </w:r>
    </w:p>
    <w:p>
      <w:pPr>
        <w:pStyle w:val="TextBody"/>
        <w:bidi w:val="0"/>
        <w:spacing w:lineRule="auto" w:line="240" w:before="240" w:after="0"/>
        <w:ind w:left="0" w:hanging="0"/>
        <w:jc w:val="both"/>
        <w:rPr>
          <w:rFonts w:ascii="Times New Roman" w:hAnsi="Times New Roman"/>
          <w:sz w:val="24"/>
          <w:szCs w:val="24"/>
        </w:rPr>
      </w:pPr>
      <w:r>
        <w:rPr>
          <w:sz w:val="24"/>
          <w:szCs w:val="24"/>
        </w:rPr>
        <w:t>(6) A támogatások nyilvános adatnak minősülnek, azokat az önkormányzat hivatalos honlapján közzé kell tenni.</w:t>
      </w:r>
    </w:p>
    <w:p>
      <w:pPr>
        <w:pStyle w:val="TextBody"/>
        <w:bidi w:val="0"/>
        <w:spacing w:lineRule="auto" w:line="240" w:before="240" w:after="0"/>
        <w:ind w:left="0" w:hanging="0"/>
        <w:jc w:val="both"/>
        <w:rPr>
          <w:rFonts w:ascii="Times New Roman" w:hAnsi="Times New Roman"/>
          <w:sz w:val="24"/>
          <w:szCs w:val="24"/>
        </w:rPr>
      </w:pPr>
      <w:r>
        <w:rPr>
          <w:sz w:val="24"/>
          <w:szCs w:val="24"/>
        </w:rPr>
        <w:t>(7) Amennyiben a fenti rendelkezések megsértésének gyanúja merül fel, a polgármester a Mötv. 61. § (2) bekezdése alapján felfüggesztheti a bizottságok döntésének végrehajtását.</w:t>
      </w:r>
    </w:p>
    <w:p>
      <w:pPr>
        <w:pStyle w:val="TextBody"/>
        <w:bidi w:val="0"/>
        <w:spacing w:lineRule="auto" w:line="240" w:before="240" w:after="0"/>
        <w:ind w:left="0" w:hanging="0"/>
        <w:jc w:val="both"/>
        <w:rPr>
          <w:rFonts w:ascii="Times New Roman" w:hAnsi="Times New Roman"/>
          <w:sz w:val="24"/>
          <w:szCs w:val="24"/>
        </w:rPr>
      </w:pPr>
      <w:r>
        <w:rPr>
          <w:sz w:val="24"/>
          <w:szCs w:val="24"/>
        </w:rPr>
        <w:t>(8) A bizottságok támogatási eljárásukban figyelembe veszik és érvényesítik a közpénzekből nyújtott támogatások átláthatóságáról szóló 2007. évi CLXXXI. törvény rendelkezéseit is.</w:t>
      </w:r>
    </w:p>
    <w:p>
      <w:pPr>
        <w:pStyle w:val="TextBody"/>
        <w:bidi w:val="0"/>
        <w:spacing w:lineRule="auto" w:line="240" w:before="240" w:after="0"/>
        <w:ind w:left="0" w:hanging="0"/>
        <w:jc w:val="both"/>
        <w:rPr>
          <w:rFonts w:ascii="Times New Roman" w:hAnsi="Times New Roman"/>
          <w:sz w:val="24"/>
          <w:szCs w:val="24"/>
        </w:rPr>
      </w:pPr>
      <w:r>
        <w:rPr>
          <w:sz w:val="24"/>
          <w:szCs w:val="24"/>
        </w:rPr>
        <w:t>(9) Államháztartáson kívüli forrás végleges átvételéről a polgármester dönt, melyről a költségvetési rendelet módosítása keretében utólagosan köteles tájékoztatni a képviselő-testületet.</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14. §</w:t>
      </w:r>
    </w:p>
    <w:p>
      <w:pPr>
        <w:pStyle w:val="TextBody"/>
        <w:bidi w:val="0"/>
        <w:spacing w:lineRule="auto" w:line="240" w:before="0" w:after="0"/>
        <w:ind w:left="0" w:hanging="0"/>
        <w:jc w:val="both"/>
        <w:rPr>
          <w:rFonts w:ascii="Times New Roman" w:hAnsi="Times New Roman"/>
          <w:sz w:val="24"/>
          <w:szCs w:val="24"/>
        </w:rPr>
      </w:pPr>
      <w:r>
        <w:rPr>
          <w:sz w:val="24"/>
          <w:szCs w:val="24"/>
        </w:rPr>
        <w:t>A képviselő-testület hozzájárul, hogy az önkormányzatnál a polgármester utasítása szerint, a számviteli törvény alapján behajthatatlannak minősített követelések leírásra kerüljenek. A tárgyévet követően a zárszámadáskor a hivatal köteles számot adni az ilyen címen leírt összegekről.</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15. §</w:t>
      </w:r>
    </w:p>
    <w:p>
      <w:pPr>
        <w:pStyle w:val="TextBody"/>
        <w:bidi w:val="0"/>
        <w:spacing w:lineRule="auto" w:line="240" w:before="0" w:after="0"/>
        <w:ind w:left="0" w:hanging="0"/>
        <w:jc w:val="both"/>
        <w:rPr>
          <w:rFonts w:ascii="Times New Roman" w:hAnsi="Times New Roman"/>
          <w:sz w:val="24"/>
          <w:szCs w:val="24"/>
        </w:rPr>
      </w:pPr>
      <w:r>
        <w:rPr>
          <w:sz w:val="24"/>
          <w:szCs w:val="24"/>
        </w:rPr>
        <w:t>A költségvetésben elfogadott kiadások a teljesített bevételek arányában fizethetők. Amennyiben a bevételi előírások teljesítésére nem látszik lehetőség, úgy a képviselő-testületet haladéktalanul tájékoztatni kell a szükséges intézkedések megtétele céljából.</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16. §</w:t>
      </w:r>
    </w:p>
    <w:p>
      <w:pPr>
        <w:pStyle w:val="TextBody"/>
        <w:bidi w:val="0"/>
        <w:spacing w:lineRule="auto" w:line="240" w:before="0" w:after="0"/>
        <w:ind w:left="0" w:hanging="0"/>
        <w:jc w:val="both"/>
        <w:rPr>
          <w:rFonts w:ascii="Times New Roman" w:hAnsi="Times New Roman"/>
          <w:sz w:val="24"/>
          <w:szCs w:val="24"/>
        </w:rPr>
      </w:pPr>
      <w:r>
        <w:rPr>
          <w:sz w:val="24"/>
          <w:szCs w:val="24"/>
        </w:rPr>
        <w:t>(1) A képviselő-testület Magyarország 2025. évi központi költségvetéséről szóló 2024. évi LV. törvény 61. § (6) bekezdése alapján 2025. március 1. napjától az illetményalapot 82.000 Ft-ban állapítja meg a polgármesteri hivatalánál foglalkoztatott köztisztviselők vonatkozásában.</w:t>
      </w:r>
    </w:p>
    <w:p>
      <w:pPr>
        <w:pStyle w:val="TextBody"/>
        <w:bidi w:val="0"/>
        <w:spacing w:lineRule="auto" w:line="240" w:before="240" w:after="0"/>
        <w:ind w:left="0" w:hanging="0"/>
        <w:jc w:val="both"/>
        <w:rPr>
          <w:rFonts w:ascii="Times New Roman" w:hAnsi="Times New Roman"/>
          <w:sz w:val="24"/>
          <w:szCs w:val="24"/>
        </w:rPr>
      </w:pPr>
      <w:r>
        <w:rPr>
          <w:sz w:val="24"/>
          <w:szCs w:val="24"/>
        </w:rPr>
        <w:t>(2) A képviselő-testület a Közszolgálati tisztviselők jogállásáról szóló 2011. évi CXCIX. törvényben kapott felhatalmazás alapján 10 %-os mértékű illetménykiegészítést állapít meg a polgármesteri hivatal köztisztviselői részére.</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17. §</w:t>
      </w:r>
    </w:p>
    <w:p>
      <w:pPr>
        <w:pStyle w:val="TextBody"/>
        <w:bidi w:val="0"/>
        <w:spacing w:lineRule="auto" w:line="240" w:before="0" w:after="0"/>
        <w:ind w:left="0" w:hanging="0"/>
        <w:jc w:val="both"/>
        <w:rPr>
          <w:rFonts w:ascii="Times New Roman" w:hAnsi="Times New Roman"/>
          <w:sz w:val="24"/>
          <w:szCs w:val="24"/>
        </w:rPr>
      </w:pPr>
      <w:r>
        <w:rPr>
          <w:sz w:val="24"/>
          <w:szCs w:val="24"/>
        </w:rPr>
        <w:t>Hatályát veszti a Hajdúszoboszló Város Önkormányzata Képviselő-testületének 7/2014. (IV.24.) önkormányzati rendelete Hajdúszoboszló Város Önkormányzata 2013. évi zárszámadásáról szóló 7/2014. (V. 7.) önkormányzati rendelet.</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18. §</w:t>
      </w:r>
    </w:p>
    <w:p>
      <w:pPr>
        <w:pStyle w:val="TextBody"/>
        <w:bidi w:val="0"/>
        <w:spacing w:lineRule="auto" w:line="240" w:before="0" w:after="0"/>
        <w:ind w:left="0" w:hanging="0"/>
        <w:jc w:val="both"/>
        <w:rPr>
          <w:rFonts w:ascii="Times New Roman" w:hAnsi="Times New Roman"/>
          <w:sz w:val="24"/>
          <w:szCs w:val="24"/>
        </w:rPr>
      </w:pPr>
      <w:r>
        <w:rPr>
          <w:sz w:val="24"/>
          <w:szCs w:val="24"/>
        </w:rPr>
        <w:t>Hatályát veszti a Hajdúszoboszló Város Önkormányzata 2014. évi zárszámadásáról szóló 14/2015 (IV.16.) önkormányzati rendelet.</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19. §</w:t>
      </w:r>
    </w:p>
    <w:p>
      <w:pPr>
        <w:pStyle w:val="TextBody"/>
        <w:bidi w:val="0"/>
        <w:spacing w:lineRule="auto" w:line="240" w:before="0" w:after="0"/>
        <w:ind w:left="0" w:hanging="0"/>
        <w:jc w:val="both"/>
        <w:rPr>
          <w:rFonts w:ascii="Times New Roman" w:hAnsi="Times New Roman"/>
          <w:sz w:val="24"/>
          <w:szCs w:val="24"/>
        </w:rPr>
      </w:pPr>
      <w:r>
        <w:rPr>
          <w:sz w:val="24"/>
          <w:szCs w:val="24"/>
        </w:rPr>
        <w:t>Hatályát veszti a Hajdúszoboszló Város Önkormányzata 2015. évi zárszámadásáról szóló 10/2016 (IV.14.) önkormányzati rendelet.</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20. §</w:t>
      </w:r>
    </w:p>
    <w:p>
      <w:pPr>
        <w:pStyle w:val="TextBody"/>
        <w:bidi w:val="0"/>
        <w:spacing w:lineRule="auto" w:line="240" w:before="0" w:after="0"/>
        <w:ind w:left="0" w:hanging="0"/>
        <w:jc w:val="both"/>
        <w:rPr>
          <w:rFonts w:ascii="Times New Roman" w:hAnsi="Times New Roman"/>
          <w:sz w:val="24"/>
          <w:szCs w:val="24"/>
        </w:rPr>
      </w:pPr>
      <w:r>
        <w:rPr>
          <w:sz w:val="24"/>
          <w:szCs w:val="24"/>
        </w:rPr>
        <w:t>Hatályát veszti a Hajdúszoboszló Város Önkormányzata 2016. évi zárszámadásáról szóló 8/2017 (IV.20.) önkormányzati rendelet.</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21. §</w:t>
      </w:r>
    </w:p>
    <w:p>
      <w:pPr>
        <w:pStyle w:val="TextBody"/>
        <w:bidi w:val="0"/>
        <w:spacing w:lineRule="auto" w:line="240" w:before="0" w:after="0"/>
        <w:ind w:left="0" w:hanging="0"/>
        <w:jc w:val="both"/>
        <w:rPr>
          <w:rFonts w:ascii="Times New Roman" w:hAnsi="Times New Roman"/>
          <w:sz w:val="24"/>
          <w:szCs w:val="24"/>
        </w:rPr>
      </w:pPr>
      <w:r>
        <w:rPr>
          <w:sz w:val="24"/>
          <w:szCs w:val="24"/>
        </w:rPr>
        <w:t>Hatályát veszti a Hajdúszoboszló Város Önkormányzata 2017. évi zárszámadásáról szóló 7/2018 (IV.19.) önkormányzati rendelet.</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22. §</w:t>
      </w:r>
    </w:p>
    <w:p>
      <w:pPr>
        <w:pStyle w:val="TextBody"/>
        <w:bidi w:val="0"/>
        <w:spacing w:lineRule="auto" w:line="240" w:before="0" w:after="0"/>
        <w:ind w:left="0" w:hanging="0"/>
        <w:jc w:val="both"/>
        <w:rPr>
          <w:rFonts w:ascii="Times New Roman" w:hAnsi="Times New Roman"/>
          <w:sz w:val="24"/>
          <w:szCs w:val="24"/>
        </w:rPr>
      </w:pPr>
      <w:r>
        <w:rPr>
          <w:sz w:val="24"/>
          <w:szCs w:val="24"/>
        </w:rPr>
        <w:t>Hatályát veszti a Hajdúszoboszló Város Önkormányzata 2018. évi zárszámadásáról szóló 10/2019 (IV.25.) önkormányzati rendelet.</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23. §</w:t>
      </w:r>
    </w:p>
    <w:p>
      <w:pPr>
        <w:pStyle w:val="TextBody"/>
        <w:bidi w:val="0"/>
        <w:spacing w:lineRule="auto" w:line="240" w:before="0" w:after="0"/>
        <w:ind w:left="0" w:hanging="0"/>
        <w:jc w:val="both"/>
        <w:rPr>
          <w:rFonts w:ascii="Times New Roman" w:hAnsi="Times New Roman"/>
          <w:sz w:val="24"/>
          <w:szCs w:val="24"/>
        </w:rPr>
      </w:pPr>
      <w:r>
        <w:rPr>
          <w:sz w:val="24"/>
          <w:szCs w:val="24"/>
        </w:rPr>
        <w:t>Hatályát veszti a Hajdúszoboszló Város Önkormányzata 2019. évi zárszámadásáról szóló 13/2020 (VI.25.) önkormányzati rendelet.</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24. §</w:t>
      </w:r>
    </w:p>
    <w:p>
      <w:pPr>
        <w:pStyle w:val="TextBody"/>
        <w:bidi w:val="0"/>
        <w:spacing w:lineRule="auto" w:line="240" w:before="0" w:after="0"/>
        <w:ind w:left="0" w:hanging="0"/>
        <w:jc w:val="both"/>
        <w:rPr>
          <w:rFonts w:ascii="Times New Roman" w:hAnsi="Times New Roman"/>
          <w:sz w:val="24"/>
          <w:szCs w:val="24"/>
        </w:rPr>
      </w:pPr>
      <w:r>
        <w:rPr>
          <w:sz w:val="24"/>
          <w:szCs w:val="24"/>
        </w:rPr>
        <w:t>Ez a rendelet 2025. január 30-án 15 órakor lép hatályba.</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1. melléklet a .../2025. (I. 30.) önkormányzati rendelethez</w:t>
      </w:r>
    </w:p>
    <w:p>
      <w:pPr>
        <w:pStyle w:val="TextBody"/>
        <w:bidi w:val="0"/>
        <w:spacing w:lineRule="auto" w:line="240"/>
        <w:jc w:val="both"/>
        <w:rPr>
          <w:rFonts w:ascii="Times New Roman" w:hAnsi="Times New Roman"/>
          <w:sz w:val="24"/>
          <w:szCs w:val="24"/>
        </w:rPr>
      </w:pPr>
      <w:r>
        <w:rPr>
          <w:sz w:val="24"/>
          <w:szCs w:val="24"/>
        </w:rPr>
        <w:t>(A melléklet szövegét a(z) 1_melléklet_költségvetési_rendelet.pdf elnevezésű fájl tartalmazza.)</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2. melléklet a .../2025. (I. 30.) önkormányzati rendelethez</w:t>
      </w:r>
    </w:p>
    <w:p>
      <w:pPr>
        <w:pStyle w:val="TextBody"/>
        <w:bidi w:val="0"/>
        <w:spacing w:lineRule="auto" w:line="240"/>
        <w:jc w:val="both"/>
        <w:rPr>
          <w:rFonts w:ascii="Times New Roman" w:hAnsi="Times New Roman"/>
          <w:sz w:val="24"/>
          <w:szCs w:val="24"/>
        </w:rPr>
      </w:pPr>
      <w:r>
        <w:rPr>
          <w:sz w:val="24"/>
          <w:szCs w:val="24"/>
        </w:rPr>
        <w:t>(A melléklet szövegét a(z) 2_melléklet_költségvetési_rendelet.pdf elnevezésű fájl tartalmazza.)</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3. melléklet a .../2025. (I. 30.) önkormányzati rendelethez</w:t>
      </w:r>
    </w:p>
    <w:p>
      <w:pPr>
        <w:pStyle w:val="TextBody"/>
        <w:bidi w:val="0"/>
        <w:spacing w:lineRule="auto" w:line="240"/>
        <w:jc w:val="both"/>
        <w:rPr>
          <w:rFonts w:ascii="Times New Roman" w:hAnsi="Times New Roman"/>
          <w:sz w:val="24"/>
          <w:szCs w:val="24"/>
        </w:rPr>
      </w:pPr>
      <w:r>
        <w:rPr>
          <w:sz w:val="24"/>
          <w:szCs w:val="24"/>
        </w:rPr>
        <w:t>(A melléklet szövegét a(z) 3_melléklet_költségvetési rendelet.pdf elnevezésű fájl tartalmazza.)</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4. melléklet a .../2025. (I. 30.) önkormányzati rendelethez</w:t>
      </w:r>
    </w:p>
    <w:p>
      <w:pPr>
        <w:pStyle w:val="TextBody"/>
        <w:bidi w:val="0"/>
        <w:spacing w:lineRule="auto" w:line="240"/>
        <w:jc w:val="both"/>
        <w:rPr>
          <w:rFonts w:ascii="Times New Roman" w:hAnsi="Times New Roman"/>
          <w:sz w:val="24"/>
          <w:szCs w:val="24"/>
        </w:rPr>
      </w:pPr>
      <w:r>
        <w:rPr>
          <w:sz w:val="24"/>
          <w:szCs w:val="24"/>
        </w:rPr>
        <w:t>(A melléklet szövegét a(z) 4_melléklet_költségvetési rendelet.pdf elnevezésű fájl tartalmazza.)</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5. melléklet a .../2025. (I. 30.) önkormányzati rendelethez</w:t>
      </w:r>
    </w:p>
    <w:p>
      <w:pPr>
        <w:pStyle w:val="TextBody"/>
        <w:bidi w:val="0"/>
        <w:spacing w:lineRule="auto" w:line="240"/>
        <w:jc w:val="both"/>
        <w:rPr>
          <w:rFonts w:ascii="Times New Roman" w:hAnsi="Times New Roman"/>
          <w:sz w:val="24"/>
          <w:szCs w:val="24"/>
        </w:rPr>
      </w:pPr>
      <w:r>
        <w:rPr>
          <w:sz w:val="24"/>
          <w:szCs w:val="24"/>
        </w:rPr>
        <w:t>(A melléklet szövegét a(z) 5_melléklet_költségvetési_rendelet.pdf elnevezésű fájl tartalmazza.)</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6. melléklet a .../2025. (I. 30.) önkormányzati rendelethez</w:t>
      </w:r>
    </w:p>
    <w:p>
      <w:pPr>
        <w:pStyle w:val="TextBody"/>
        <w:bidi w:val="0"/>
        <w:spacing w:lineRule="auto" w:line="240"/>
        <w:jc w:val="both"/>
        <w:rPr>
          <w:rFonts w:ascii="Times New Roman" w:hAnsi="Times New Roman"/>
          <w:sz w:val="24"/>
          <w:szCs w:val="24"/>
        </w:rPr>
      </w:pPr>
      <w:r>
        <w:rPr>
          <w:sz w:val="24"/>
          <w:szCs w:val="24"/>
        </w:rPr>
        <w:t>(A melléklet szövegét a(z) 6_melléklet_költségvetési_rendelet.pdf elnevezésű fájl tartalmazza.)</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7. melléklet a .../2025. (I. 30.) önkormányzati rendelethez</w:t>
      </w:r>
    </w:p>
    <w:p>
      <w:pPr>
        <w:pStyle w:val="TextBody"/>
        <w:bidi w:val="0"/>
        <w:spacing w:lineRule="auto" w:line="240"/>
        <w:jc w:val="both"/>
        <w:rPr>
          <w:rFonts w:ascii="Times New Roman" w:hAnsi="Times New Roman"/>
          <w:sz w:val="24"/>
          <w:szCs w:val="24"/>
        </w:rPr>
      </w:pPr>
      <w:r>
        <w:rPr>
          <w:sz w:val="24"/>
          <w:szCs w:val="24"/>
        </w:rPr>
        <w:t>(A melléklet szövegét a(z) 7_melléklet_költségvetési_rendelet.pdf elnevezésű fájl tartalmazza.)</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8. melléklet a .../2025. (I. 30.) önkormányzati rendelethez</w:t>
      </w:r>
    </w:p>
    <w:p>
      <w:pPr>
        <w:pStyle w:val="TextBody"/>
        <w:bidi w:val="0"/>
        <w:spacing w:lineRule="auto" w:line="240"/>
        <w:jc w:val="both"/>
        <w:rPr>
          <w:rFonts w:ascii="Times New Roman" w:hAnsi="Times New Roman"/>
          <w:sz w:val="24"/>
          <w:szCs w:val="24"/>
        </w:rPr>
      </w:pPr>
      <w:r>
        <w:rPr>
          <w:sz w:val="24"/>
          <w:szCs w:val="24"/>
        </w:rPr>
        <w:t>(A melléklet szövegét a(z) 8_1_8_2_8_3_melleklet.pdf elnevezésű fájl tartalmazza.)</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9. melléklet a .../2025. (I. 30.) önkormányzati rendelethez</w:t>
      </w:r>
    </w:p>
    <w:p>
      <w:pPr>
        <w:pStyle w:val="TextBody"/>
        <w:bidi w:val="0"/>
        <w:spacing w:lineRule="auto" w:line="240"/>
        <w:jc w:val="both"/>
        <w:rPr>
          <w:rFonts w:ascii="Times New Roman" w:hAnsi="Times New Roman"/>
          <w:sz w:val="24"/>
          <w:szCs w:val="24"/>
        </w:rPr>
      </w:pPr>
      <w:r>
        <w:rPr>
          <w:sz w:val="24"/>
          <w:szCs w:val="24"/>
        </w:rPr>
        <w:t>(A melléklet szövegét a(z) 9_melléklet_költségvetési_rendelet.pdf elnevezésű fájl tartalmazza.)</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10. melléklet a .../2025. (I. 30.) önkormányzati rendelethez</w:t>
      </w:r>
    </w:p>
    <w:p>
      <w:pPr>
        <w:pStyle w:val="TextBody"/>
        <w:bidi w:val="0"/>
        <w:spacing w:lineRule="auto" w:line="240"/>
        <w:jc w:val="both"/>
        <w:rPr>
          <w:rFonts w:ascii="Times New Roman" w:hAnsi="Times New Roman"/>
          <w:sz w:val="24"/>
          <w:szCs w:val="24"/>
        </w:rPr>
      </w:pPr>
      <w:r>
        <w:rPr>
          <w:sz w:val="24"/>
          <w:szCs w:val="24"/>
        </w:rPr>
        <w:t>(A melléklet szövegét a(z) 10_melléklet_költségvetési_rendelet.pdf elnevezésű fájl tartalmazza.)</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11. melléklet a .../2025. (I. 30.) önkormányzati rendelethez</w:t>
      </w:r>
    </w:p>
    <w:p>
      <w:pPr>
        <w:pStyle w:val="TextBody"/>
        <w:bidi w:val="0"/>
        <w:spacing w:lineRule="auto" w:line="240"/>
        <w:jc w:val="both"/>
        <w:rPr>
          <w:rFonts w:ascii="Times New Roman" w:hAnsi="Times New Roman"/>
          <w:sz w:val="24"/>
          <w:szCs w:val="24"/>
        </w:rPr>
      </w:pPr>
      <w:r>
        <w:rPr>
          <w:sz w:val="24"/>
          <w:szCs w:val="24"/>
        </w:rPr>
        <w:t>(A melléklet szövegét a(z) 11_melléklet_költségvetési_rendelet.pdf elnevezésű fájl tartalmazza.)</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12. melléklet a .../2025. (I. 30.) önkormányzati rendelethez</w:t>
      </w:r>
    </w:p>
    <w:p>
      <w:pPr>
        <w:pStyle w:val="TextBody"/>
        <w:bidi w:val="0"/>
        <w:spacing w:lineRule="auto" w:line="240"/>
        <w:jc w:val="both"/>
        <w:rPr>
          <w:rFonts w:ascii="Times New Roman" w:hAnsi="Times New Roman"/>
          <w:sz w:val="24"/>
          <w:szCs w:val="24"/>
        </w:rPr>
      </w:pPr>
      <w:r>
        <w:rPr>
          <w:sz w:val="24"/>
          <w:szCs w:val="24"/>
        </w:rPr>
        <w:t>(A melléklet szövegét a(z) 12_melléklet_költségvetési_rendelet.pdf elnevezésű fájl tartalmazza.)</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13. melléklet a .../2025. (I. 30.) önkormányzati rendelethez</w:t>
      </w:r>
    </w:p>
    <w:p>
      <w:pPr>
        <w:pStyle w:val="TextBody"/>
        <w:bidi w:val="0"/>
        <w:spacing w:lineRule="auto" w:line="240"/>
        <w:jc w:val="both"/>
        <w:rPr>
          <w:rFonts w:ascii="Times New Roman" w:hAnsi="Times New Roman"/>
          <w:sz w:val="24"/>
          <w:szCs w:val="24"/>
        </w:rPr>
      </w:pPr>
      <w:r>
        <w:rPr>
          <w:sz w:val="24"/>
          <w:szCs w:val="24"/>
        </w:rPr>
        <w:t>(A melléklet szövegét a(z) 13_melléklet_költségvetési_rendelet.pdf elnevezésű fájl tartalmazza.)</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14. melléklet a .../2025. (I. 30.) önkormányzati rendelethez</w:t>
      </w:r>
    </w:p>
    <w:p>
      <w:pPr>
        <w:pStyle w:val="TextBody"/>
        <w:bidi w:val="0"/>
        <w:spacing w:lineRule="auto" w:line="240"/>
        <w:jc w:val="both"/>
        <w:rPr>
          <w:rFonts w:ascii="Times New Roman" w:hAnsi="Times New Roman"/>
          <w:sz w:val="24"/>
          <w:szCs w:val="24"/>
        </w:rPr>
      </w:pPr>
      <w:r>
        <w:rPr>
          <w:sz w:val="24"/>
          <w:szCs w:val="24"/>
        </w:rPr>
        <w:t>(A melléklet szövegét a(z) 14_melléklet_költségvetési_rendelet.pdf elnevezésű fájl tartalmazza.)</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15. melléklet a .../2025. (I. 30.) önkormányzati rendelethez</w:t>
      </w:r>
    </w:p>
    <w:p>
      <w:pPr>
        <w:pStyle w:val="TextBody"/>
        <w:bidi w:val="0"/>
        <w:spacing w:lineRule="auto" w:line="240"/>
        <w:jc w:val="both"/>
        <w:rPr>
          <w:rFonts w:ascii="Times New Roman" w:hAnsi="Times New Roman"/>
          <w:sz w:val="24"/>
          <w:szCs w:val="24"/>
        </w:rPr>
      </w:pPr>
      <w:r>
        <w:rPr>
          <w:sz w:val="24"/>
          <w:szCs w:val="24"/>
        </w:rPr>
        <w:t>(A melléklet szövegét a(z) 15_melléklet_költségvetési_rendelet.pdf elnevezésű fájl tartalmazza.)</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16. melléklet a .../2025. (I. 30.) önkormányzati rendelethez</w:t>
      </w:r>
    </w:p>
    <w:p>
      <w:pPr>
        <w:pStyle w:val="TextBody"/>
        <w:bidi w:val="0"/>
        <w:spacing w:lineRule="auto" w:line="240"/>
        <w:jc w:val="both"/>
        <w:rPr>
          <w:rFonts w:ascii="Times New Roman" w:hAnsi="Times New Roman"/>
          <w:sz w:val="24"/>
          <w:szCs w:val="24"/>
        </w:rPr>
      </w:pPr>
      <w:r>
        <w:rPr>
          <w:sz w:val="24"/>
          <w:szCs w:val="24"/>
        </w:rPr>
        <w:t>(A melléklet szövegét a(z) 16_melléklet_költségvetési_rendelet.pdf elnevezésű fájl tartalmazza.)</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17. melléklet a .../2025. (I. 30.) önkormányzati rendelethez</w:t>
      </w:r>
    </w:p>
    <w:p>
      <w:pPr>
        <w:pStyle w:val="TextBody"/>
        <w:bidi w:val="0"/>
        <w:spacing w:lineRule="auto" w:line="240"/>
        <w:jc w:val="both"/>
        <w:rPr>
          <w:rFonts w:ascii="Times New Roman" w:hAnsi="Times New Roman"/>
          <w:sz w:val="24"/>
          <w:szCs w:val="24"/>
        </w:rPr>
      </w:pPr>
      <w:r>
        <w:rPr>
          <w:sz w:val="24"/>
          <w:szCs w:val="24"/>
        </w:rPr>
        <w:t>(A melléklet szövegét a(z) 17_melléklet_költségvetési_rendelet.pdf elnevezésű fájl tartalmazza.)</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18. melléklet a .../2025. (I. 30.) önkormányzati rendelethez</w:t>
      </w:r>
    </w:p>
    <w:p>
      <w:pPr>
        <w:pStyle w:val="TextBody"/>
        <w:bidi w:val="0"/>
        <w:spacing w:lineRule="auto" w:line="240"/>
        <w:jc w:val="both"/>
        <w:rPr>
          <w:rFonts w:ascii="Times New Roman" w:hAnsi="Times New Roman"/>
          <w:sz w:val="24"/>
          <w:szCs w:val="24"/>
        </w:rPr>
      </w:pPr>
      <w:r>
        <w:rPr>
          <w:sz w:val="24"/>
          <w:szCs w:val="24"/>
        </w:rPr>
        <w:t>(A melléklet szövegét a(z) 18_melléklet_költségvetési_rendelet.pdf elnevezésű fájl tartalmazza.)</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19. melléklet a .../2025. (I. 30.) önkormányzati rendelethez</w:t>
      </w:r>
    </w:p>
    <w:p>
      <w:pPr>
        <w:pStyle w:val="TextBody"/>
        <w:bidi w:val="0"/>
        <w:spacing w:lineRule="auto" w:line="240" w:before="0" w:after="140"/>
        <w:jc w:val="both"/>
        <w:rPr>
          <w:rFonts w:ascii="Times New Roman" w:hAnsi="Times New Roman"/>
          <w:sz w:val="24"/>
          <w:szCs w:val="24"/>
        </w:rPr>
      </w:pPr>
      <w:r>
        <w:rPr>
          <w:sz w:val="24"/>
          <w:szCs w:val="24"/>
        </w:rPr>
        <w:t>(A melléklet szövegét a(z) 19_melléklet_költségvetési_rendelet.pdf elnevezésű fájl tartalmazza.)</w:t>
      </w:r>
    </w:p>
    <w:sectPr>
      <w:footerReference w:type="default" r:id="rId2"/>
      <w:type w:val="nextPage"/>
      <w:pgSz w:w="11906" w:h="16838"/>
      <w:pgMar w:left="1134" w:right="1134" w:header="0" w:top="1134" w:footer="1134" w:bottom="1693"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bidi w:val="0"/>
      <w:jc w:val="center"/>
      <w:rPr/>
    </w:pPr>
    <w:r>
      <w:rPr/>
      <w:fldChar w:fldCharType="begin"/>
    </w:r>
    <w:r>
      <w:rPr/>
      <w:instrText> PAGE </w:instrText>
    </w:r>
    <w:r>
      <w:rPr/>
      <w:fldChar w:fldCharType="separate"/>
    </w:r>
    <w:r>
      <w:rPr/>
      <w:t>31</w:t>
    </w:r>
    <w:r>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left"/>
      <w:pPr>
        <w:tabs>
          <w:tab w:val="num" w:pos="0"/>
        </w:tabs>
        <w:ind w:left="0" w:hanging="0"/>
      </w:pPr>
    </w:lvl>
    <w:lvl w:ilvl="1">
      <w:start w:val="1"/>
      <w:pStyle w:val="Heading2"/>
      <w:numFmt w:val="none"/>
      <w:suff w:val="nothing"/>
      <w:lvlText w:val=""/>
      <w:lvlJc w:val="left"/>
      <w:pPr>
        <w:tabs>
          <w:tab w:val="num" w:pos="0"/>
        </w:tabs>
        <w:ind w:left="0" w:hanging="0"/>
      </w:pPr>
    </w:lvl>
    <w:lvl w:ilvl="2">
      <w:start w:val="1"/>
      <w:pStyle w:val="Heading3"/>
      <w:numFmt w:val="none"/>
      <w:suff w:val="nothing"/>
      <w:lvlText w:val=""/>
      <w:lvlJc w:val="left"/>
      <w:pPr>
        <w:tabs>
          <w:tab w:val="num" w:pos="0"/>
        </w:tabs>
        <w:ind w:left="0" w:hanging="0"/>
      </w:pPr>
    </w:lvl>
    <w:lvl w:ilvl="3">
      <w:start w:val="1"/>
      <w:pStyle w:val="Heading4"/>
      <w:numFmt w:val="none"/>
      <w:suff w:val="nothing"/>
      <w:lvlText w:val=""/>
      <w:lvlJc w:val="left"/>
      <w:pPr>
        <w:tabs>
          <w:tab w:val="num" w:pos="0"/>
        </w:tabs>
        <w:ind w:left="0" w:hanging="0"/>
      </w:pPr>
    </w:lvl>
    <w:lvl w:ilvl="4">
      <w:start w:val="1"/>
      <w:pStyle w:val="Heading5"/>
      <w:numFmt w:val="none"/>
      <w:suff w:val="nothing"/>
      <w:lvlText w:val=""/>
      <w:lvlJc w:val="left"/>
      <w:pPr>
        <w:tabs>
          <w:tab w:val="num" w:pos="0"/>
        </w:tabs>
        <w:ind w:left="0" w:hanging="0"/>
      </w:pPr>
    </w:lvl>
    <w:lvl w:ilvl="5">
      <w:start w:val="1"/>
      <w:pStyle w:val="Heading6"/>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6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Regular" w:cs="FreeSans"/>
        <w:kern w:val="2"/>
        <w:sz w:val="24"/>
        <w:szCs w:val="24"/>
        <w:lang w:val="en-US"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Times New Roman" w:hAnsi="Times New Roman" w:eastAsia="Noto Sans CJK SC Regular" w:cs="FreeSans"/>
      <w:color w:val="auto"/>
      <w:kern w:val="2"/>
      <w:sz w:val="24"/>
      <w:szCs w:val="24"/>
      <w:lang w:val="hu-HU" w:eastAsia="zh-CN" w:bidi="hi-IN"/>
    </w:rPr>
  </w:style>
  <w:style w:type="paragraph" w:styleId="Heading1">
    <w:name w:val="Heading 1"/>
    <w:basedOn w:val="Heading"/>
    <w:next w:val="TextBody"/>
    <w:qFormat/>
    <w:pPr>
      <w:numPr>
        <w:ilvl w:val="0"/>
        <w:numId w:val="1"/>
      </w:numPr>
      <w:spacing w:before="240" w:after="120"/>
      <w:outlineLvl w:val="0"/>
    </w:pPr>
    <w:rPr>
      <w:b/>
      <w:bCs/>
      <w:sz w:val="36"/>
      <w:szCs w:val="36"/>
    </w:rPr>
  </w:style>
  <w:style w:type="paragraph" w:styleId="Heading2">
    <w:name w:val="Heading 2"/>
    <w:basedOn w:val="Heading"/>
    <w:next w:val="TextBody"/>
    <w:qFormat/>
    <w:pPr>
      <w:numPr>
        <w:ilvl w:val="1"/>
        <w:numId w:val="1"/>
      </w:numPr>
      <w:spacing w:before="200" w:after="120"/>
      <w:outlineLvl w:val="1"/>
    </w:pPr>
    <w:rPr>
      <w:b/>
      <w:bCs/>
      <w:sz w:val="32"/>
      <w:szCs w:val="32"/>
    </w:rPr>
  </w:style>
  <w:style w:type="paragraph" w:styleId="Heading3">
    <w:name w:val="Heading 3"/>
    <w:basedOn w:val="Heading"/>
    <w:next w:val="TextBody"/>
    <w:qFormat/>
    <w:pPr>
      <w:numPr>
        <w:ilvl w:val="2"/>
        <w:numId w:val="1"/>
      </w:numPr>
      <w:spacing w:before="140" w:after="120"/>
      <w:outlineLvl w:val="2"/>
    </w:pPr>
    <w:rPr>
      <w:b/>
      <w:bCs/>
      <w:sz w:val="28"/>
      <w:szCs w:val="28"/>
    </w:rPr>
  </w:style>
  <w:style w:type="paragraph" w:styleId="Heading4">
    <w:name w:val="Heading 4"/>
    <w:basedOn w:val="Heading"/>
    <w:next w:val="TextBody"/>
    <w:qFormat/>
    <w:pPr>
      <w:numPr>
        <w:ilvl w:val="3"/>
        <w:numId w:val="1"/>
      </w:numPr>
      <w:spacing w:before="120" w:after="120"/>
      <w:outlineLvl w:val="3"/>
    </w:pPr>
    <w:rPr>
      <w:b/>
      <w:bCs/>
      <w:i/>
      <w:iCs/>
      <w:sz w:val="27"/>
      <w:szCs w:val="27"/>
    </w:rPr>
  </w:style>
  <w:style w:type="paragraph" w:styleId="Heading5">
    <w:name w:val="Heading 5"/>
    <w:basedOn w:val="Heading"/>
    <w:next w:val="TextBody"/>
    <w:qFormat/>
    <w:pPr>
      <w:numPr>
        <w:ilvl w:val="4"/>
        <w:numId w:val="1"/>
      </w:numPr>
      <w:spacing w:before="120" w:after="60"/>
      <w:outlineLvl w:val="4"/>
    </w:pPr>
    <w:rPr>
      <w:b/>
      <w:bCs/>
      <w:sz w:val="24"/>
      <w:szCs w:val="24"/>
    </w:rPr>
  </w:style>
  <w:style w:type="paragraph" w:styleId="Heading6">
    <w:name w:val="Heading 6"/>
    <w:basedOn w:val="Heading"/>
    <w:next w:val="TextBody"/>
    <w:qFormat/>
    <w:pPr>
      <w:numPr>
        <w:ilvl w:val="5"/>
        <w:numId w:val="1"/>
      </w:numPr>
      <w:spacing w:before="60" w:after="60"/>
      <w:outlineLvl w:val="5"/>
    </w:pPr>
    <w:rPr>
      <w:b/>
      <w:bCs/>
      <w:i/>
      <w:iCs/>
      <w:sz w:val="24"/>
      <w:szCs w:val="24"/>
    </w:rPr>
  </w:style>
  <w:style w:type="character" w:styleId="InternetLink">
    <w:name w:val="Hyperlink"/>
    <w:rPr>
      <w:color w:val="000080"/>
      <w:u w:val="single"/>
    </w:rPr>
  </w:style>
  <w:style w:type="character" w:styleId="VisitedInternetLink">
    <w:name w:val="FollowedHyperlink"/>
    <w:rPr>
      <w:color w:val="800000"/>
      <w:u w:val="single"/>
    </w:rPr>
  </w:style>
  <w:style w:type="character" w:styleId="NumberingSymbols">
    <w:name w:val="Numbering Symbols"/>
    <w:qFormat/>
    <w:rPr/>
  </w:style>
  <w:style w:type="character" w:styleId="Bullets">
    <w:name w:val="Bullets"/>
    <w:qFormat/>
    <w:rPr>
      <w:rFonts w:ascii="OpenSymbol" w:hAnsi="OpenSymbol" w:eastAsia="OpenSymbol" w:cs="OpenSymbol"/>
    </w:rPr>
  </w:style>
  <w:style w:type="paragraph" w:styleId="Heading">
    <w:name w:val="Heading"/>
    <w:basedOn w:val="Normal"/>
    <w:next w:val="TextBody"/>
    <w:qFormat/>
    <w:pPr>
      <w:keepNext w:val="true"/>
      <w:spacing w:before="240" w:after="120"/>
    </w:pPr>
    <w:rPr>
      <w:rFonts w:ascii="Liberation Sans" w:hAnsi="Liberation Sans" w:eastAsia="Noto Sans CJK SC Regular" w:cs="FreeSans"/>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HeaderandFooter">
    <w:name w:val="Header and Footer"/>
    <w:basedOn w:val="Normal"/>
    <w:qFormat/>
    <w:pPr>
      <w:suppressLineNumbers/>
      <w:tabs>
        <w:tab w:val="clear" w:pos="709"/>
        <w:tab w:val="center" w:pos="4986" w:leader="none"/>
        <w:tab w:val="right" w:pos="9972" w:leader="none"/>
      </w:tabs>
    </w:pPr>
    <w:rPr/>
  </w:style>
  <w:style w:type="paragraph" w:styleId="Footer">
    <w:name w:val="Footer"/>
    <w:basedOn w:val="Normal"/>
    <w:pPr>
      <w:suppressLineNumbers/>
      <w:tabs>
        <w:tab w:val="clear" w:pos="709"/>
        <w:tab w:val="center" w:pos="4819" w:leader="none"/>
        <w:tab w:val="right" w:pos="9638" w:leader="none"/>
      </w:tabs>
    </w:pPr>
    <w:rPr/>
  </w:style>
  <w:style w:type="paragraph" w:styleId="TableContents">
    <w:name w:val="Table Contents"/>
    <w:basedOn w:val="Normal"/>
    <w:qFormat/>
    <w:pPr>
      <w:suppressLineNumbers/>
    </w:pPr>
    <w:rPr>
      <w:lang w:val="hu-HU"/>
    </w:rPr>
  </w:style>
  <w:style w:type="paragraph" w:styleId="TableHeading">
    <w:name w:val="Table Heading"/>
    <w:basedOn w:val="TableContents"/>
    <w:qFormat/>
    <w:pPr>
      <w:suppressLineNumbers/>
      <w:jc w:val="center"/>
    </w:pPr>
    <w:rPr>
      <w:b/>
      <w:bCs/>
    </w:rPr>
  </w:style>
  <w:style w:type="paragraph" w:styleId="HorizontalLine">
    <w:name w:val="Horizontal Line"/>
    <w:basedOn w:val="Normal"/>
    <w:next w:val="TextBody"/>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4</TotalTime>
  <Application>LibreOffice/7.0.6.2$Linux_X86_64 LibreOffice_project/144abb84a525d8e30c9dbbefa69cbbf2d8d4ae3b</Application>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2017-08-15T13:24:49Z</dcterms:created>
  <dc:creator/>
  <dc:description/>
  <dc:language>en-US</dc:language>
  <cp:lastModifiedBy/>
  <dcterms:modified xsi:type="dcterms:W3CDTF">2018-01-30T11:27:53Z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ngleXMLDocument_count">
    <vt:r8>1</vt:r8>
  </property>
</Properties>
</file>