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bidi w:val="0"/>
        <w:spacing w:lineRule="auto" w:line="240" w:before="240" w:after="48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Hajdúszoboszló Város Önkormányzata Képviselő-testületének .../2024. (II. 22.) önkormányzati rendelete</w:t>
      </w:r>
    </w:p>
    <w:p>
      <w:pPr>
        <w:pStyle w:val="TextBody"/>
        <w:bidi w:val="0"/>
        <w:spacing w:lineRule="auto" w:line="240" w:before="240" w:after="48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szociális, gyermekvédelmi ellátások módosításáról</w:t>
      </w:r>
    </w:p>
    <w:p>
      <w:pPr>
        <w:pStyle w:val="TextBody"/>
        <w:bidi w:val="0"/>
        <w:spacing w:lineRule="auto" w:line="240" w:before="22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Hajdúszoboszló Város Önkormányzata Képviselő-testülete a szociális igazgatásról és szociális ellátásokról szóló 1993. évi III. törvény 62. § (2) bekezdésében, a 92. § (1)-(2) bekezdéseiben és a 132. § (4) bekezdésének d) pontjában foglalt, valamint a gyermekek védelméről és a gyámügyi igazgatásról szóló többször módosított 1997. évi XXXI. törvény 29. §, 94. § (1), 131. §, 147. §-ában, a Magyarország helyi önkormányzatairól szóló 2011. évi CLXXXIX. törvény 13. § (1) bekezdésének 8. pontjában foglalt feladatkörében eljárva, az önkormányzat szervezeti és működési szabályzatról szóló 18/2019. (XI.07.) önkormányzati rendelet 17. § (2) bekezdésében biztosított véleményezési jogkörében eljáró Hajdúszoboszló Város Önkormányzata Képviselő-testületének Szociális és Egészségügyi Bizottsága egyetértésével, valamint a (3) bekezdése alapján a Jogi, Igazgatási és Ügyrendi Bizottság egyetértésével, a rendkívüli gyermekvédelmi támogatásról és a személyes gondoskodás keretébe tartozó gyermekjóléti alapellátásokról szóló 19/2008. (IX.18.) önkormányzati rendelet, a személyes gondoskodást nyújtó szociális ellátásokról szóló 8/2014. (IV.24.) önkormányzati rendelet módosítása tárgyában a következőket rendeli el:</w:t>
      </w:r>
    </w:p>
    <w:p>
      <w:pPr>
        <w:pStyle w:val="TextBody"/>
        <w:bidi w:val="0"/>
        <w:spacing w:lineRule="auto" w:line="240" w:before="240" w:after="24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§</w:t>
      </w:r>
    </w:p>
    <w:p>
      <w:pPr>
        <w:pStyle w:val="TextBody"/>
        <w:bidi w:val="0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A rendkívüli gyermekvédelmi támogatásról és a személyes gondoskodás keretébe tartozó gyermekjóléti alapellátásokról szóló 19/2008. (IX.18.) számú rendelet 2. melléklete az 1. melléklet szerint módosul.</w:t>
      </w:r>
    </w:p>
    <w:p>
      <w:pPr>
        <w:pStyle w:val="TextBody"/>
        <w:bidi w:val="0"/>
        <w:spacing w:lineRule="auto" w:line="240" w:before="240" w:after="24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§</w:t>
      </w:r>
    </w:p>
    <w:p>
      <w:pPr>
        <w:pStyle w:val="TextBody"/>
        <w:bidi w:val="0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(1) A személyes gondoskodást nyújtó szociális ellátásokról szóló 8/2014. (IV. 24.) önkormányzati rendelet 2. melléklete helyébe a 2. melléklet lép.</w:t>
      </w:r>
    </w:p>
    <w:p>
      <w:pPr>
        <w:pStyle w:val="TextBody"/>
        <w:bidi w:val="0"/>
        <w:spacing w:lineRule="auto" w:line="240" w:before="24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(2) A személyes gondoskodást nyújtó szociális ellátásokról szóló 8/2014. (IV. 24.) önkormányzati rendelet 4. melléklet 1. függeléke helyébe a 3. melléklet lép.</w:t>
      </w:r>
    </w:p>
    <w:p>
      <w:pPr>
        <w:pStyle w:val="TextBody"/>
        <w:bidi w:val="0"/>
        <w:spacing w:lineRule="auto" w:line="240" w:before="240" w:after="24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§</w:t>
      </w:r>
    </w:p>
    <w:p>
      <w:pPr>
        <w:pStyle w:val="TextBody"/>
        <w:bidi w:val="0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Ez a rendelet 2024. április 1-jén lép hatályba.</w:t>
      </w:r>
      <w:r>
        <w:br w:type="page"/>
      </w:r>
    </w:p>
    <w:p>
      <w:pPr>
        <w:pStyle w:val="TextBody"/>
        <w:bidi w:val="0"/>
        <w:spacing w:lineRule="auto" w:line="240"/>
        <w:jc w:val="right"/>
        <w:rPr>
          <w:rFonts w:ascii="Times New Roman" w:hAnsi="Times New Roman"/>
          <w:i/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1. melléklet a .../2024. (II. 22.) önkormányzati rendelethez</w:t>
      </w:r>
    </w:p>
    <w:p>
      <w:pPr>
        <w:pStyle w:val="TextBody"/>
        <w:bidi w:val="0"/>
        <w:spacing w:lineRule="auto" w:line="240" w:before="22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1. A rendkívüli gyermekvédelmi támogatásról és a személyes gondoskodás keretébe tartozó gyermekjóléti alapellátásokról szóló 19/2008. (IX.18.) számú rendelet 2. melléklet 1. pontjában foglalt táblázat „Intézménytípus megnevezése” sora helyébe a következő rendelkezés lép:</w:t>
      </w:r>
    </w:p>
    <w:p>
      <w:pPr>
        <w:pStyle w:val="Normal"/>
        <w:bidi w:val="0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„</w:t>
      </w:r>
    </w:p>
    <w:tbl>
      <w:tblPr>
        <w:tblW w:w="9638" w:type="dxa"/>
        <w:jc w:val="lef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107"/>
        <w:gridCol w:w="4531"/>
      </w:tblGrid>
      <w:tr>
        <w:trPr/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Intézménytípus megnevezése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2024. évi intézményi térítési díj</w:t>
              <w:br/>
              <w:t>(Ft/nap)</w:t>
            </w:r>
          </w:p>
        </w:tc>
      </w:tr>
    </w:tbl>
    <w:p>
      <w:pPr>
        <w:pStyle w:val="Normal"/>
        <w:bidi w:val="0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”</w:t>
      </w:r>
    </w:p>
    <w:p>
      <w:pPr>
        <w:pStyle w:val="TextBody"/>
        <w:bidi w:val="0"/>
        <w:spacing w:lineRule="auto" w:line="240" w:before="22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2. A rendkívüli gyermekvédelmi támogatásról és a személyes gondoskodás keretébe tartozó gyermekjóléti alapellátásokról szóló 19/2008. (IX.18.) számú rendelet 2. melléklet 1. pontjában foglalt táblázat „Szociális étkezés” sora helyébe a következő rendelkezés lép:</w:t>
      </w:r>
    </w:p>
    <w:p>
      <w:pPr>
        <w:pStyle w:val="Normal"/>
        <w:bidi w:val="0"/>
        <w:spacing w:lineRule="auto" w:line="240"/>
        <w:jc w:val="lef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„</w:t>
      </w:r>
    </w:p>
    <w:tbl>
      <w:tblPr>
        <w:tblW w:w="9638" w:type="dxa"/>
        <w:jc w:val="lef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107"/>
        <w:gridCol w:w="4531"/>
      </w:tblGrid>
      <w:tr>
        <w:trPr/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left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Szociális étkezés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80</w:t>
            </w:r>
          </w:p>
        </w:tc>
      </w:tr>
    </w:tbl>
    <w:p>
      <w:pPr>
        <w:pStyle w:val="Normal"/>
        <w:bidi w:val="0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”</w:t>
      </w:r>
    </w:p>
    <w:p>
      <w:pPr>
        <w:pStyle w:val="TextBody"/>
        <w:bidi w:val="0"/>
        <w:spacing w:lineRule="auto" w:line="240" w:before="22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3. A rendkívüli gyermekvédelmi támogatásról és a személyes gondoskodás keretébe tartozó gyermekjóléti alapellátásokról szóló 19/2008. (IX.18.) számú rendelet 2. melléklet 2. pontja helyébe a következő pont lép:</w:t>
      </w:r>
    </w:p>
    <w:p>
      <w:pPr>
        <w:pStyle w:val="TextBody"/>
        <w:bidi w:val="0"/>
        <w:spacing w:lineRule="auto" w:line="240" w:before="24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„</w:t>
      </w:r>
      <w:r>
        <w:rPr>
          <w:sz w:val="24"/>
          <w:szCs w:val="24"/>
        </w:rPr>
        <w:t xml:space="preserve">2. </w:t>
      </w:r>
      <w:r>
        <w:rPr>
          <w:b/>
          <w:bCs/>
          <w:sz w:val="24"/>
          <w:szCs w:val="24"/>
        </w:rPr>
        <w:t>Hajdúszoboszlói Gyermeksziget Bölcsőde</w:t>
      </w:r>
      <w:r>
        <w:rPr>
          <w:sz w:val="24"/>
          <w:szCs w:val="24"/>
        </w:rPr>
        <w:t xml:space="preserve"> 1997. évi XXXI. tv. (továbbiakban: Gyvt.) 147. § (1)-(4) bekezdésének és a költségvetési tv. rendelkezései alapján számított </w:t>
      </w:r>
      <w:r>
        <w:rPr>
          <w:b/>
          <w:bCs/>
          <w:sz w:val="24"/>
          <w:szCs w:val="24"/>
        </w:rPr>
        <w:t>INTÉZMÉNYI TÉRÍTÉSI DÍJAI (ÁFA-t nem tartalmazza)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202</w:t>
      </w:r>
      <w:r>
        <w:rPr>
          <w:sz w:val="24"/>
          <w:szCs w:val="24"/>
        </w:rPr>
        <w:t>4</w:t>
      </w:r>
      <w:r>
        <w:rPr>
          <w:b/>
          <w:bCs/>
          <w:sz w:val="24"/>
          <w:szCs w:val="24"/>
        </w:rPr>
        <w:t>.</w:t>
      </w:r>
    </w:p>
    <w:tbl>
      <w:tblPr>
        <w:tblW w:w="5000" w:type="pct"/>
        <w:jc w:val="lef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891"/>
        <w:gridCol w:w="3084"/>
        <w:gridCol w:w="3663"/>
      </w:tblGrid>
      <w:tr>
        <w:trPr>
          <w:tblHeader w:val="true"/>
        </w:trPr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Ellátási forma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Gyvt. 147. §</w:t>
            </w:r>
            <w:r>
              <w:rPr>
                <w:b/>
                <w:bCs/>
                <w:sz w:val="21"/>
                <w:szCs w:val="21"/>
              </w:rPr>
              <w:t>(1)-(3) bek. Intézményi térítési díjai</w:t>
            </w: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Gyvt. 147. §</w:t>
            </w:r>
            <w:r>
              <w:rPr>
                <w:b/>
                <w:bCs/>
                <w:sz w:val="21"/>
                <w:szCs w:val="21"/>
              </w:rPr>
              <w:t xml:space="preserve"> (4) bek.</w:t>
            </w:r>
            <w:r>
              <w:rPr>
                <w:b/>
                <w:bCs/>
                <w:sz w:val="21"/>
                <w:szCs w:val="21"/>
              </w:rPr>
              <w:br/>
            </w:r>
            <w:r>
              <w:rPr>
                <w:b/>
                <w:bCs/>
                <w:sz w:val="21"/>
                <w:szCs w:val="21"/>
              </w:rPr>
              <w:t>csökkentett intézményi térítési díjai</w:t>
            </w:r>
          </w:p>
        </w:tc>
      </w:tr>
      <w:tr>
        <w:trPr/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Bölcsődei</w:t>
            </w:r>
            <w:r>
              <w:rPr>
                <w:sz w:val="21"/>
                <w:szCs w:val="21"/>
              </w:rPr>
              <w:br/>
            </w:r>
            <w:r>
              <w:rPr>
                <w:b/>
                <w:bCs/>
                <w:sz w:val="21"/>
                <w:szCs w:val="21"/>
              </w:rPr>
              <w:t>gondozás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3.935.- Ft/fő/nap</w:t>
              <w:br/>
              <w:t xml:space="preserve"> 83.595.- Ft/fő/hó</w:t>
            </w: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0.- Ft/nap</w:t>
              <w:br/>
              <w:t xml:space="preserve"> 0.- Ft/hó</w:t>
            </w:r>
          </w:p>
        </w:tc>
      </w:tr>
      <w:tr>
        <w:trPr/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Bölcsődei gyermekétkeztetés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610.- Ft/nap (4 étkezés)</w:t>
              <w:br/>
              <w:br/>
              <w:t>reggeli: 120.- Ft</w:t>
              <w:br/>
              <w:t>tízórai: 60.- Ft</w:t>
              <w:br/>
              <w:t>ebéd: 310.- Ft</w:t>
              <w:br/>
              <w:t>uzsonna: 120.- Ft</w:t>
              <w:br/>
            </w: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610.- Ft /nap (4 étkezés)</w:t>
              <w:br/>
              <w:br/>
              <w:t>reggeli: 120.- Ft</w:t>
              <w:br/>
              <w:t>tízórai: 60.- Ft</w:t>
              <w:br/>
              <w:t>ebéd: 310.- Ft</w:t>
              <w:br/>
              <w:t>uzsonna: 120.- Ft</w:t>
              <w:br/>
            </w:r>
          </w:p>
        </w:tc>
      </w:tr>
      <w:tr>
        <w:trPr/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Időszakos gyermekfelügyelet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1385.- Ft/óra</w:t>
            </w: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500.- Ft/óra</w:t>
            </w:r>
          </w:p>
        </w:tc>
      </w:tr>
      <w:tr>
        <w:trPr/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Baba-Mama</w:t>
            </w:r>
            <w:r>
              <w:rPr>
                <w:sz w:val="21"/>
                <w:szCs w:val="21"/>
              </w:rPr>
              <w:br/>
            </w:r>
            <w:r>
              <w:rPr>
                <w:b/>
                <w:bCs/>
                <w:sz w:val="21"/>
                <w:szCs w:val="21"/>
              </w:rPr>
              <w:t>Játszócsoport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2.200.- Ft/alkalom</w:t>
            </w: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térítésmentes</w:t>
            </w:r>
          </w:p>
        </w:tc>
      </w:tr>
    </w:tbl>
    <w:p>
      <w:pPr>
        <w:pStyle w:val="Normal"/>
        <w:bidi w:val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”</w:t>
      </w:r>
    </w:p>
    <w:p>
      <w:pPr>
        <w:pStyle w:val="TextBody"/>
        <w:bidi w:val="0"/>
        <w:spacing w:lineRule="auto" w:line="240" w:before="220" w:after="0"/>
        <w:ind w:left="0" w:hanging="0"/>
        <w:jc w:val="both"/>
        <w:rPr/>
      </w:pPr>
      <w:r>
        <w:rPr/>
        <w:t>4. A rendkívüli gyermekvédelmi támogatásról és a személyes gondoskodás keretébe tartozó gyermekjóléti alapellátásokról szóló 19/2008. (IX.18.) számú rendelet 2. melléklet 3. pontja helyébe a következő pont lép:</w:t>
      </w:r>
    </w:p>
    <w:p>
      <w:pPr>
        <w:pStyle w:val="TextBody"/>
        <w:bidi w:val="0"/>
        <w:spacing w:lineRule="auto" w:line="240" w:before="240" w:after="0"/>
        <w:ind w:left="0" w:hanging="0"/>
        <w:jc w:val="both"/>
        <w:rPr/>
      </w:pPr>
      <w:r>
        <w:rPr/>
        <w:t>„</w:t>
      </w:r>
      <w:r>
        <w:rPr/>
        <w:t xml:space="preserve">3. </w:t>
      </w:r>
      <w:r>
        <w:rPr>
          <w:b/>
          <w:bCs/>
        </w:rPr>
        <w:t>Helyettes szülői ellátás</w:t>
      </w:r>
      <w:r>
        <w:rPr/>
        <w:t xml:space="preserve"> 1997. évi XXXI. tv. (továbbiakban: Gyvt.) 147. § (1)-(3) bekezdésének és a költségvetési tv. rendelkezései alapján számított </w:t>
      </w:r>
      <w:r>
        <w:rPr>
          <w:b/>
          <w:bCs/>
        </w:rPr>
        <w:t>INTÉZMÉNYI TÉRÍTÉSI DÍJAI</w:t>
      </w:r>
      <w:r>
        <w:rPr/>
        <w:t xml:space="preserve"> </w:t>
      </w:r>
      <w:r>
        <w:rPr>
          <w:b/>
          <w:bCs/>
        </w:rPr>
        <w:t>2024.</w:t>
      </w:r>
    </w:p>
    <w:tbl>
      <w:tblPr>
        <w:tblW w:w="5000" w:type="pct"/>
        <w:jc w:val="lef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470"/>
        <w:gridCol w:w="3084"/>
        <w:gridCol w:w="3084"/>
      </w:tblGrid>
      <w:tr>
        <w:trPr>
          <w:tblHeader w:val="true"/>
        </w:trPr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left"/>
              <w:rPr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br/>
            </w:r>
            <w:r>
              <w:rPr>
                <w:b/>
                <w:bCs/>
                <w:sz w:val="21"/>
                <w:szCs w:val="21"/>
              </w:rPr>
              <w:t>Ellátási forma</w:t>
            </w:r>
            <w:r>
              <w:rPr>
                <w:b/>
                <w:bCs/>
                <w:sz w:val="21"/>
                <w:szCs w:val="21"/>
              </w:rPr>
              <w:br/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Gyvt. 147. §</w:t>
            </w:r>
            <w:r>
              <w:rPr>
                <w:b/>
                <w:bCs/>
                <w:sz w:val="21"/>
                <w:szCs w:val="21"/>
              </w:rPr>
              <w:t>(1)-(3) bek. Intézményi</w:t>
            </w:r>
            <w:r>
              <w:rPr>
                <w:b/>
                <w:bCs/>
                <w:sz w:val="21"/>
                <w:szCs w:val="21"/>
              </w:rPr>
              <w:br/>
            </w:r>
            <w:r>
              <w:rPr>
                <w:b/>
                <w:bCs/>
                <w:sz w:val="21"/>
                <w:szCs w:val="21"/>
              </w:rPr>
              <w:t>térítési díjai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Gyvt. 147. §</w:t>
            </w:r>
            <w:r>
              <w:rPr>
                <w:b/>
                <w:bCs/>
                <w:sz w:val="21"/>
                <w:szCs w:val="21"/>
              </w:rPr>
              <w:t>(4) bek. csökkentett intézményi</w:t>
            </w:r>
            <w:r>
              <w:rPr>
                <w:b/>
                <w:bCs/>
                <w:sz w:val="21"/>
                <w:szCs w:val="21"/>
              </w:rPr>
              <w:br/>
            </w:r>
            <w:r>
              <w:rPr>
                <w:b/>
                <w:bCs/>
                <w:sz w:val="21"/>
                <w:szCs w:val="21"/>
              </w:rPr>
              <w:t>térítési díjai</w:t>
            </w:r>
          </w:p>
        </w:tc>
      </w:tr>
      <w:tr>
        <w:trPr>
          <w:tblHeader w:val="true"/>
        </w:trPr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left"/>
              <w:rPr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Helyettes szülői ellátás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left"/>
              <w:rPr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110</w:t>
            </w:r>
            <w:r>
              <w:rPr>
                <w:b/>
                <w:bCs/>
                <w:sz w:val="21"/>
                <w:szCs w:val="21"/>
              </w:rPr>
              <w:t>.-</w:t>
            </w:r>
            <w:r>
              <w:rPr>
                <w:b/>
                <w:bCs/>
                <w:sz w:val="21"/>
                <w:szCs w:val="21"/>
              </w:rPr>
              <w:t xml:space="preserve"> Ft/fő/nap</w:t>
            </w:r>
            <w:r>
              <w:rPr>
                <w:b/>
                <w:bCs/>
                <w:sz w:val="21"/>
                <w:szCs w:val="21"/>
              </w:rPr>
              <w:br/>
            </w:r>
            <w:r>
              <w:rPr>
                <w:b/>
                <w:bCs/>
                <w:sz w:val="21"/>
                <w:szCs w:val="21"/>
              </w:rPr>
              <w:t>3.300</w:t>
            </w:r>
            <w:r>
              <w:rPr>
                <w:b/>
                <w:bCs/>
                <w:sz w:val="21"/>
                <w:szCs w:val="21"/>
              </w:rPr>
              <w:t>.-</w:t>
            </w:r>
            <w:r>
              <w:rPr>
                <w:b/>
                <w:bCs/>
                <w:sz w:val="21"/>
                <w:szCs w:val="21"/>
              </w:rPr>
              <w:t xml:space="preserve"> Ft/fő/hó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left"/>
              <w:rPr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jövedelemmel nem rendelkező</w:t>
            </w:r>
            <w:r>
              <w:rPr>
                <w:b/>
                <w:bCs/>
                <w:sz w:val="21"/>
                <w:szCs w:val="21"/>
              </w:rPr>
              <w:br/>
            </w:r>
            <w:r>
              <w:rPr>
                <w:b/>
                <w:bCs/>
                <w:sz w:val="21"/>
                <w:szCs w:val="21"/>
              </w:rPr>
              <w:t>0.-Ft/fő/nap</w:t>
            </w:r>
            <w:r>
              <w:rPr>
                <w:b/>
                <w:bCs/>
                <w:sz w:val="21"/>
                <w:szCs w:val="21"/>
              </w:rPr>
              <w:br/>
            </w:r>
            <w:r>
              <w:rPr>
                <w:b/>
                <w:bCs/>
                <w:sz w:val="21"/>
                <w:szCs w:val="21"/>
              </w:rPr>
              <w:t>0.-Ft/fő/hó</w:t>
            </w:r>
          </w:p>
        </w:tc>
      </w:tr>
    </w:tbl>
    <w:p>
      <w:pPr>
        <w:pStyle w:val="Normal"/>
        <w:bidi w:val="0"/>
        <w:jc w:val="right"/>
        <w:rPr/>
      </w:pPr>
      <w:r>
        <w:rPr/>
        <w:t>”</w:t>
      </w:r>
    </w:p>
    <w:p>
      <w:pPr>
        <w:pStyle w:val="TextBody"/>
        <w:bidi w:val="0"/>
        <w:spacing w:lineRule="auto" w:line="240" w:before="220" w:after="0"/>
        <w:ind w:left="0" w:hanging="0"/>
        <w:jc w:val="both"/>
        <w:rPr/>
      </w:pPr>
      <w:r>
        <w:rPr/>
        <w:t>5. A rendkívüli gyermekvédelmi támogatásról és a személyes gondoskodás keretébe tartozó gyermekjóléti alapellátásokról szóló 19/2008. (IX.18.) számú rendelet 2. melléklet 4. pontja helyébe a következő pont lép:</w:t>
      </w:r>
    </w:p>
    <w:p>
      <w:pPr>
        <w:pStyle w:val="TextBody"/>
        <w:bidi w:val="0"/>
        <w:spacing w:lineRule="auto" w:line="240" w:before="240" w:after="0"/>
        <w:ind w:left="0" w:hanging="0"/>
        <w:jc w:val="both"/>
        <w:rPr/>
      </w:pPr>
      <w:r>
        <w:rPr/>
        <w:t>„</w:t>
      </w:r>
      <w:r>
        <w:rPr/>
        <w:t xml:space="preserve">4. </w:t>
      </w:r>
      <w:r>
        <w:rPr>
          <w:b/>
          <w:bCs/>
        </w:rPr>
        <w:t>Családok átmeneti otthonának ellátása</w:t>
      </w:r>
      <w:r>
        <w:rPr/>
        <w:t xml:space="preserve"> - 1997. évi XXXI. tv. (továbbiakban: Gyvt.) 147. § (1)-(3) bekezdésének és a költségvetési tv. rendelkezései alapján számított INTÉZMÉNYI TÉRÍTÉSI DÍJAI (ÁFA-t nem tartalmaz) 2024.</w:t>
      </w:r>
    </w:p>
    <w:tbl>
      <w:tblPr>
        <w:tblW w:w="5000" w:type="pct"/>
        <w:jc w:val="lef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409"/>
        <w:gridCol w:w="2410"/>
        <w:gridCol w:w="2409"/>
        <w:gridCol w:w="2410"/>
      </w:tblGrid>
      <w:tr>
        <w:trPr>
          <w:tblHeader w:val="true"/>
        </w:trPr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</w:tr>
      <w:tr>
        <w:trPr/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Ellátási forma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Gyvt. 147. § (1)-(3) bek. Intézményi térítési díjai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Gyvt. 147. § (4) bek. Csökkentett intézményi térítési díjai</w:t>
            </w:r>
          </w:p>
        </w:tc>
      </w:tr>
      <w:tr>
        <w:trPr/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Családok Átmeneti Otthona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0.-Ft/fő/nap</w:t>
              <w:br/>
              <w:t>0.-Ft/fő/hó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extBody"/>
              <w:bidi w:val="0"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0.-Ft/fő/nap</w:t>
              <w:br/>
              <w:t>0.-Ft/fő/hó</w:t>
            </w:r>
          </w:p>
        </w:tc>
      </w:tr>
    </w:tbl>
    <w:p>
      <w:pPr>
        <w:pStyle w:val="Normal"/>
        <w:bidi w:val="0"/>
        <w:jc w:val="right"/>
        <w:rPr/>
      </w:pPr>
      <w:r>
        <w:rPr/>
        <w:t>”</w:t>
      </w:r>
      <w:r>
        <w:br w:type="page"/>
      </w:r>
    </w:p>
    <w:p>
      <w:pPr>
        <w:pStyle w:val="TextBody"/>
        <w:bidi w:val="0"/>
        <w:spacing w:lineRule="auto" w:line="240"/>
        <w:jc w:val="right"/>
        <w:rPr>
          <w:i/>
          <w:i/>
          <w:iCs/>
          <w:u w:val="single"/>
        </w:rPr>
      </w:pPr>
      <w:r>
        <w:rPr>
          <w:i/>
          <w:iCs/>
          <w:u w:val="single"/>
        </w:rPr>
        <w:t>2. melléklet a .../2024. (II. 22.) önkormányzati rendelethez</w:t>
      </w:r>
    </w:p>
    <w:p>
      <w:pPr>
        <w:pStyle w:val="TextBody"/>
        <w:bidi w:val="0"/>
        <w:spacing w:lineRule="auto" w:line="240" w:before="240" w:after="0"/>
        <w:ind w:left="0" w:hanging="0"/>
        <w:jc w:val="both"/>
        <w:rPr/>
      </w:pPr>
      <w:r>
        <w:rPr/>
        <w:t>„</w:t>
      </w:r>
      <w:r>
        <w:rPr>
          <w:i/>
          <w:iCs/>
        </w:rPr>
        <w:t>2. melléklet</w:t>
      </w:r>
    </w:p>
    <w:p>
      <w:pPr>
        <w:pStyle w:val="TextBody"/>
        <w:bidi w:val="0"/>
        <w:spacing w:lineRule="auto" w:line="240" w:before="240" w:after="480"/>
        <w:ind w:left="0" w:hanging="0"/>
        <w:jc w:val="center"/>
        <w:rPr>
          <w:b/>
          <w:b/>
          <w:bCs/>
        </w:rPr>
      </w:pPr>
      <w:r>
        <w:rPr>
          <w:b/>
          <w:bCs/>
        </w:rPr>
        <w:t>2/A sz. melléklet</w:t>
      </w:r>
    </w:p>
    <w:p>
      <w:pPr>
        <w:pStyle w:val="TextBody"/>
        <w:bidi w:val="0"/>
        <w:spacing w:lineRule="auto" w:line="240"/>
        <w:jc w:val="left"/>
        <w:rPr/>
      </w:pPr>
      <w:r>
        <w:rPr/>
        <w:t>(A melléklet szövegét a(z) 09_2A melléklet_2024.pdf elnevezésű fájl tartalmazza.)</w:t>
      </w:r>
    </w:p>
    <w:p>
      <w:pPr>
        <w:pStyle w:val="TextBody"/>
        <w:bidi w:val="0"/>
        <w:spacing w:lineRule="auto" w:line="240" w:before="240" w:after="240"/>
        <w:ind w:left="0" w:hanging="0"/>
        <w:jc w:val="center"/>
        <w:rPr>
          <w:b/>
          <w:b/>
          <w:bCs/>
        </w:rPr>
      </w:pPr>
      <w:r>
        <w:rPr>
          <w:b/>
          <w:bCs/>
        </w:rPr>
        <w:t>2/B sz. melléklet</w:t>
      </w:r>
      <w:r>
        <w:rPr>
          <w:b/>
          <w:bCs/>
        </w:rPr>
        <w:t>”</w:t>
      </w:r>
      <w:r>
        <w:br w:type="page"/>
      </w:r>
    </w:p>
    <w:p>
      <w:pPr>
        <w:pStyle w:val="TextBody"/>
        <w:bidi w:val="0"/>
        <w:spacing w:lineRule="auto" w:line="240"/>
        <w:jc w:val="right"/>
        <w:rPr>
          <w:i/>
          <w:i/>
          <w:iCs/>
          <w:u w:val="single"/>
        </w:rPr>
      </w:pPr>
      <w:r>
        <w:rPr>
          <w:i/>
          <w:iCs/>
          <w:u w:val="single"/>
        </w:rPr>
        <w:t>3. melléklet a .../2024. (II. 22.) önkormányzati rendelethez</w:t>
      </w:r>
    </w:p>
    <w:p>
      <w:pPr>
        <w:pStyle w:val="TextBody"/>
        <w:bidi w:val="0"/>
        <w:spacing w:lineRule="auto" w:line="240" w:before="240" w:after="0"/>
        <w:ind w:left="0" w:hanging="0"/>
        <w:jc w:val="both"/>
        <w:rPr/>
      </w:pPr>
      <w:r>
        <w:rPr/>
        <w:t>„</w:t>
      </w:r>
      <w:r>
        <w:rPr>
          <w:i/>
          <w:iCs/>
        </w:rPr>
        <w:t>1. függelék</w:t>
      </w:r>
    </w:p>
    <w:p>
      <w:pPr>
        <w:pStyle w:val="TextBody"/>
        <w:bidi w:val="0"/>
        <w:spacing w:lineRule="auto" w:line="240" w:before="0" w:after="140"/>
        <w:jc w:val="left"/>
        <w:rPr/>
      </w:pPr>
      <w:r>
        <w:rPr/>
        <w:t>(A melléklet szövegét a(z) 09_1_sz_függelék.pdf elnevezésű fájl tartalmazza.)”</w:t>
      </w:r>
    </w:p>
    <w:sectPr>
      <w:footerReference w:type="default" r:id="rId2"/>
      <w:type w:val="nextPage"/>
      <w:pgSz w:w="11906" w:h="16838"/>
      <w:pgMar w:left="1134" w:right="1134" w:header="0" w:top="1134" w:footer="1134" w:bottom="1693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bidi w:val="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Noto Sans CJK SC Regular" w:cs="FreeSans"/>
      <w:color w:val="auto"/>
      <w:kern w:val="2"/>
      <w:sz w:val="24"/>
      <w:szCs w:val="24"/>
      <w:lang w:val="hu-HU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TextBody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TextBody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7"/>
      <w:szCs w:val="27"/>
    </w:rPr>
  </w:style>
  <w:style w:type="paragraph" w:styleId="Heading5">
    <w:name w:val="Heading 5"/>
    <w:basedOn w:val="Heading"/>
    <w:next w:val="TextBody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TextBody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InternetLink">
    <w:name w:val="Hyperlink"/>
    <w:rPr>
      <w:color w:val="000080"/>
      <w:u w:val="single"/>
    </w:rPr>
  </w:style>
  <w:style w:type="character" w:styleId="VisitedInternetLink">
    <w:name w:val="FollowedHyperlink"/>
    <w:rPr>
      <w:color w:val="800000"/>
      <w:u w:val="single"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TableContents">
    <w:name w:val="Table Contents"/>
    <w:basedOn w:val="Normal"/>
    <w:qFormat/>
    <w:pPr>
      <w:suppressLineNumbers/>
    </w:pPr>
    <w:rPr>
      <w:lang w:val="hu-HU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orizontalLine">
    <w:name w:val="Horizontal Line"/>
    <w:basedOn w:val="Normal"/>
    <w:next w:val="TextBody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LibreOffice/7.0.6.2$Linux_X86_64 LibreOffice_project/144abb84a525d8e30c9dbbefa69cbbf2d8d4ae3b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2017-08-15T13:24:49Z</dcterms:created>
  <dc:creator/>
  <dc:description/>
  <dc:language>en-US</dc:language>
  <cp:lastModifiedBy/>
  <dcterms:modified xsi:type="dcterms:W3CDTF">2018-01-30T11:27:53Z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