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64B92" w:rsidRDefault="00A26D8A">
      <w:pPr>
        <w:spacing w:line="240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Tartózkodási idő utáni idegenforgalmi adó mértéke 2015-ben és a</w:t>
      </w:r>
    </w:p>
    <w:p w:rsidR="00864B92" w:rsidRDefault="00A26D8A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KSH előzetes adatokon nyugvó „sorrendiség” a kereskedelmi szálláshelyeken</w:t>
      </w:r>
    </w:p>
    <w:p w:rsidR="00864B92" w:rsidRDefault="00A26D8A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eltöltött vendégéjszakák alapján 2014-ben</w:t>
      </w:r>
    </w:p>
    <w:tbl>
      <w:tblPr>
        <w:tblStyle w:val="a"/>
        <w:tblW w:w="9853" w:type="dxa"/>
        <w:jc w:val="center"/>
        <w:tblInd w:w="-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3"/>
        <w:gridCol w:w="2887"/>
        <w:gridCol w:w="4163"/>
      </w:tblGrid>
      <w:tr w:rsidR="00864B92">
        <w:trPr>
          <w:jc w:val="center"/>
        </w:trPr>
        <w:tc>
          <w:tcPr>
            <w:tcW w:w="2804" w:type="dxa"/>
          </w:tcPr>
          <w:p w:rsidR="00864B92" w:rsidRDefault="00864B92">
            <w:pPr>
              <w:spacing w:line="240" w:lineRule="auto"/>
              <w:jc w:val="both"/>
            </w:pP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„napos” IFA adómérték (fő/éjszaka) 2015</w:t>
            </w:r>
            <w:r>
              <w:rPr>
                <w:rFonts w:ascii="Times New Roman" w:eastAsia="Times New Roman" w:hAnsi="Times New Roman" w:cs="Times New Roman"/>
                <w:b/>
                <w:i/>
                <w:vertAlign w:val="superscript"/>
              </w:rPr>
              <w:t>*</w:t>
            </w:r>
          </w:p>
          <w:p w:rsidR="00864B92" w:rsidRDefault="00864B92">
            <w:pPr>
              <w:spacing w:line="240" w:lineRule="auto"/>
              <w:jc w:val="center"/>
            </w:pP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KSH helyezés 2014 – TOP 10 (előzetes adatok, „csak kereskedelmi szálláshelyek”,</w:t>
            </w:r>
          </w:p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belföldi, külföldi, összesen)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Tihany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500,-Ft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Balatonfüred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470,-Ft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</w:rPr>
              <w:t>7, 6, 6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Alsóörs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Balatonalmádi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2, 4, 3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Hévíz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</w:rPr>
              <w:t>5, 2, 2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Miskolc (Miskolctapolca)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Harkány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430,-Ft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Sárvár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420,-Ft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-, 5, 7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Zalakaros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420,-Ft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4, -, 8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Bük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410,-Ft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9, 3, 5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Keszthely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410,-Ft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Visegrád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410,-Ft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Abádszalók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Berekfürdő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Cserkeszőlő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Orosháza (Gyopárosfürdő)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Siófok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3, 7, 4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Komló (Sikonda)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385,-Ft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Alsópáhok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380,-Ft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Gárdony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380,-Ft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Gyula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380,-Ft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6, -, -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Zamárdi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370,-Ft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-, 9, -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Balatonboglár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360,-Ft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Balatonlelle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360,-Ft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Fonyód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360,-Ft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Mezőkövesd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Egerszalók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Esztergom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Hajdúnánás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Kehidakustány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Kiskunmajsa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Komárom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300,-Ft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Bogács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280,-Ft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Tiszaújváros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250,-Ft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Eger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10, 10, 10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Győr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-, 8, -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Sopron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8, -, 9</w:t>
            </w: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Szeged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450,-Ft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Szentendre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420,-Ft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Debrecen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  <w:tr w:rsidR="00864B92">
        <w:trPr>
          <w:jc w:val="center"/>
        </w:trPr>
        <w:tc>
          <w:tcPr>
            <w:tcW w:w="2804" w:type="dxa"/>
          </w:tcPr>
          <w:p w:rsidR="00864B92" w:rsidRDefault="00A26D8A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Pécs</w:t>
            </w:r>
          </w:p>
        </w:tc>
        <w:tc>
          <w:tcPr>
            <w:tcW w:w="2887" w:type="dxa"/>
          </w:tcPr>
          <w:p w:rsidR="00864B92" w:rsidRDefault="00A26D8A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504D"/>
                <w:sz w:val="24"/>
                <w:szCs w:val="24"/>
              </w:rPr>
              <w:t>400,-Ft</w:t>
            </w:r>
          </w:p>
        </w:tc>
        <w:tc>
          <w:tcPr>
            <w:tcW w:w="4163" w:type="dxa"/>
          </w:tcPr>
          <w:p w:rsidR="00864B92" w:rsidRDefault="00864B92">
            <w:pPr>
              <w:spacing w:line="240" w:lineRule="auto"/>
              <w:jc w:val="center"/>
            </w:pPr>
          </w:p>
        </w:tc>
      </w:tr>
    </w:tbl>
    <w:p w:rsidR="00864B92" w:rsidRDefault="00A26D8A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>forrás: www.itthon.hu, hakka.allamkincstar.gov.hu</w:t>
      </w:r>
    </w:p>
    <w:sectPr w:rsidR="00864B92">
      <w:pgSz w:w="11906" w:h="16838"/>
      <w:pgMar w:top="1418" w:right="1418" w:bottom="1418" w:left="1418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64B92"/>
    <w:rsid w:val="00864B92"/>
    <w:rsid w:val="00A2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contextualSpacing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contextualSpacing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2015-06-26T08:19:00Z</dcterms:created>
  <dcterms:modified xsi:type="dcterms:W3CDTF">2015-06-26T08:19:00Z</dcterms:modified>
</cp:coreProperties>
</file>